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1" w:rightFromText="181" w:vertAnchor="text" w:horzAnchor="margin" w:tblpY="-2125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</w:tblGrid>
      <w:tr w:rsidR="00E33390" w:rsidRPr="00C93FF8" w14:paraId="3B81423E" w14:textId="77777777" w:rsidTr="007D0003">
        <w:tc>
          <w:tcPr>
            <w:tcW w:w="4503" w:type="dxa"/>
          </w:tcPr>
          <w:p w14:paraId="6AFBF4A6" w14:textId="7C098702" w:rsidR="00C93FF8" w:rsidRDefault="00262529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Fødevareministeriet</w:t>
            </w:r>
          </w:p>
          <w:p w14:paraId="6A7C3EC7" w14:textId="148D6532" w:rsidR="00816F2D" w:rsidRPr="00C93FF8" w:rsidRDefault="00816F2D" w:rsidP="00942CBF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71837" w14:textId="77777777" w:rsidR="002A2CE1" w:rsidRPr="00C93FF8" w:rsidRDefault="002A2CE1" w:rsidP="002A2CE1">
      <w:pPr>
        <w:rPr>
          <w:rFonts w:ascii="Arial" w:hAnsi="Arial" w:cs="Arial"/>
          <w:sz w:val="22"/>
          <w:szCs w:val="22"/>
        </w:rPr>
      </w:pPr>
      <w:r w:rsidRPr="00C93FF8">
        <w:rPr>
          <w:rFonts w:ascii="Arial" w:hAnsi="Arial" w:cs="Arial"/>
          <w:sz w:val="22"/>
          <w:szCs w:val="22"/>
        </w:rPr>
        <w:tab/>
      </w:r>
      <w:r w:rsidRPr="00C93FF8">
        <w:rPr>
          <w:rFonts w:ascii="Arial" w:hAnsi="Arial" w:cs="Arial"/>
          <w:sz w:val="22"/>
          <w:szCs w:val="22"/>
        </w:rPr>
        <w:tab/>
      </w:r>
    </w:p>
    <w:tbl>
      <w:tblPr>
        <w:tblStyle w:val="Tabel-Gitter"/>
        <w:tblW w:w="212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</w:tblGrid>
      <w:tr w:rsidR="002A2CE1" w:rsidRPr="00F571EF" w14:paraId="464ECACA" w14:textId="77777777" w:rsidTr="004007F4">
        <w:trPr>
          <w:trHeight w:val="268"/>
          <w:jc w:val="right"/>
        </w:trPr>
        <w:tc>
          <w:tcPr>
            <w:tcW w:w="2121" w:type="dxa"/>
          </w:tcPr>
          <w:p w14:paraId="1EC8F210" w14:textId="34FF4C90" w:rsidR="004007F4" w:rsidRPr="00F571EF" w:rsidRDefault="009E50D7" w:rsidP="004007F4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22. marts 2022</w:t>
            </w:r>
          </w:p>
          <w:p w14:paraId="1DFB21DD" w14:textId="23041BC4" w:rsidR="002A2CE1" w:rsidRPr="00F571EF" w:rsidRDefault="004007F4" w:rsidP="004007F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71EF">
              <w:rPr>
                <w:rFonts w:ascii="Arial" w:hAnsi="Arial" w:cs="Arial"/>
                <w:color w:val="000000" w:themeColor="text1"/>
                <w:sz w:val="20"/>
              </w:rPr>
              <w:t xml:space="preserve">Ref.: </w:t>
            </w:r>
            <w:r w:rsidR="00262529">
              <w:rPr>
                <w:rFonts w:ascii="Arial" w:hAnsi="Arial" w:cs="Arial"/>
                <w:color w:val="000000" w:themeColor="text1"/>
                <w:sz w:val="20"/>
              </w:rPr>
              <w:t>TK</w:t>
            </w:r>
          </w:p>
        </w:tc>
      </w:tr>
    </w:tbl>
    <w:p w14:paraId="57C6875D" w14:textId="77777777" w:rsidR="00E33390" w:rsidRPr="00F571EF" w:rsidRDefault="00292FC7" w:rsidP="002A2CE1">
      <w:pPr>
        <w:rPr>
          <w:rFonts w:ascii="Arial" w:hAnsi="Arial" w:cs="Arial"/>
          <w:sz w:val="22"/>
          <w:szCs w:val="22"/>
        </w:rPr>
      </w:pPr>
    </w:p>
    <w:p w14:paraId="7643EEC5" w14:textId="77777777" w:rsidR="00E33390" w:rsidRPr="00F571EF" w:rsidRDefault="00292FC7">
      <w:pPr>
        <w:ind w:left="3912" w:firstLine="1304"/>
        <w:rPr>
          <w:rFonts w:ascii="Arial" w:hAnsi="Arial" w:cs="Arial"/>
          <w:sz w:val="22"/>
          <w:szCs w:val="22"/>
        </w:rPr>
      </w:pPr>
    </w:p>
    <w:p w14:paraId="272C02AA" w14:textId="77777777" w:rsidR="00E33390" w:rsidRPr="00F571EF" w:rsidRDefault="00292FC7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1022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9639"/>
        <w:gridCol w:w="585"/>
      </w:tblGrid>
      <w:tr w:rsidR="00BE5F1A" w:rsidRPr="00F571EF" w14:paraId="40971805" w14:textId="77777777" w:rsidTr="00576574">
        <w:tc>
          <w:tcPr>
            <w:tcW w:w="9639" w:type="dxa"/>
          </w:tcPr>
          <w:p w14:paraId="5E6EFA6A" w14:textId="72F40A0D" w:rsidR="00BE5F1A" w:rsidRPr="00F571EF" w:rsidRDefault="00A1536D" w:rsidP="00994757">
            <w:pPr>
              <w:tabs>
                <w:tab w:val="left" w:pos="8925"/>
              </w:tabs>
              <w:spacing w:after="120" w:line="216" w:lineRule="auto"/>
              <w:ind w:right="-5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§</w:t>
            </w:r>
            <w:r w:rsidR="00262529">
              <w:rPr>
                <w:rFonts w:ascii="Arial Black" w:hAnsi="Arial Black" w:cs="Arial"/>
                <w:b/>
                <w:szCs w:val="24"/>
              </w:rPr>
              <w:t xml:space="preserve">5-høring af </w:t>
            </w:r>
            <w:r w:rsidR="009E50D7">
              <w:rPr>
                <w:rFonts w:ascii="Arial Black" w:hAnsi="Arial Black" w:cs="Arial"/>
                <w:b/>
                <w:szCs w:val="24"/>
              </w:rPr>
              <w:t>18. marts 2022 om styrkelse af modstandsdygtigheden i EU’s fødevaresystem.</w:t>
            </w:r>
          </w:p>
          <w:p w14:paraId="7F621A97" w14:textId="743A0661" w:rsidR="009E50D7" w:rsidRPr="007D0C86" w:rsidRDefault="009E50D7" w:rsidP="007D0C8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0C86">
              <w:rPr>
                <w:rFonts w:ascii="Arial" w:hAnsi="Arial" w:cs="Arial"/>
                <w:iCs/>
                <w:sz w:val="22"/>
                <w:szCs w:val="22"/>
              </w:rPr>
              <w:t>Hermed følger Danmarks Fiskeriforening og Danmarks Pelagiske PO’s bemærkninger til Kommissionens forventede meddelelse om styrkelse af modstandsdygtigheden i EU’s fødevaresystem.</w:t>
            </w:r>
          </w:p>
          <w:p w14:paraId="7113B3C4" w14:textId="50E657A0" w:rsidR="009E50D7" w:rsidRPr="007D0C86" w:rsidRDefault="009E50D7" w:rsidP="007D0C8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F4E1CBC" w14:textId="77777777" w:rsidR="007D0C86" w:rsidRPr="007D0C86" w:rsidRDefault="00DA3A35" w:rsidP="007D0C8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0C86">
              <w:rPr>
                <w:rFonts w:ascii="Arial" w:hAnsi="Arial" w:cs="Arial"/>
                <w:iCs/>
                <w:sz w:val="22"/>
                <w:szCs w:val="22"/>
              </w:rPr>
              <w:t xml:space="preserve">Af ministeriets notat fremgår det, at Kommissionen inden længe forventes at fremlægge </w:t>
            </w:r>
          </w:p>
          <w:p w14:paraId="2FBC679F" w14:textId="12C440AA" w:rsidR="009E50D7" w:rsidRPr="007D0C86" w:rsidRDefault="00DA3A35" w:rsidP="007D0C8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D0C86">
              <w:rPr>
                <w:rFonts w:ascii="Arial" w:hAnsi="Arial" w:cs="Arial"/>
                <w:iCs/>
                <w:sz w:val="22"/>
                <w:szCs w:val="22"/>
              </w:rPr>
              <w:t>en meddelelse om fødevarer til overkommelige priser og en rimelig landbrugsindkomst: styrkelse af modstandsdygtigheden i EU's fødevaresystem. Det fremgår også, at Kommissionen med meddelelsen, ønsker at sætte fokus på, hvordan fødevareforsyningerne kan sikres i fremtiden, hvilket er blevet endnu mere aktuelt i lyset af den russiske invasion af Ukraine</w:t>
            </w:r>
            <w:r w:rsidR="00EA6F7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35853EF" w14:textId="1E98F52E" w:rsidR="00111170" w:rsidRPr="007D0C86" w:rsidRDefault="00111170" w:rsidP="007D0C8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5F915B4" w14:textId="0DF179FA" w:rsidR="00DA3A35" w:rsidRPr="007D0C86" w:rsidRDefault="00DA3A35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t>Set i lyset af, at vi endnu ikke kender indholdet af Kommissionens meddelelse</w:t>
            </w:r>
            <w:r w:rsidR="006E06DB" w:rsidRPr="007D0C86">
              <w:rPr>
                <w:rFonts w:ascii="Arial" w:hAnsi="Arial" w:cs="Arial"/>
                <w:sz w:val="22"/>
                <w:szCs w:val="22"/>
              </w:rPr>
              <w:t xml:space="preserve"> og den korte frist</w:t>
            </w:r>
            <w:r w:rsidR="00EA6F74">
              <w:rPr>
                <w:rFonts w:ascii="Arial" w:hAnsi="Arial" w:cs="Arial"/>
                <w:sz w:val="22"/>
                <w:szCs w:val="22"/>
              </w:rPr>
              <w:t>,</w:t>
            </w:r>
            <w:r w:rsidR="006E06DB" w:rsidRPr="007D0C86">
              <w:rPr>
                <w:rFonts w:ascii="Arial" w:hAnsi="Arial" w:cs="Arial"/>
                <w:sz w:val="22"/>
                <w:szCs w:val="22"/>
              </w:rPr>
              <w:t xml:space="preserve"> der er for svar, kan fiskerierhvervet </w:t>
            </w:r>
            <w:r w:rsidR="007D0C86">
              <w:rPr>
                <w:rFonts w:ascii="Arial" w:hAnsi="Arial" w:cs="Arial"/>
                <w:sz w:val="22"/>
                <w:szCs w:val="22"/>
              </w:rPr>
              <w:t xml:space="preserve">på nuværende tidspunkt </w:t>
            </w:r>
            <w:r w:rsidR="006E06DB" w:rsidRPr="007D0C86">
              <w:rPr>
                <w:rFonts w:ascii="Arial" w:hAnsi="Arial" w:cs="Arial"/>
                <w:sz w:val="22"/>
                <w:szCs w:val="22"/>
              </w:rPr>
              <w:t xml:space="preserve">alene bidrage med, hvilke konsekvenser den nuværende energikrise allerede har </w:t>
            </w:r>
            <w:r w:rsidR="007D0C86">
              <w:rPr>
                <w:rFonts w:ascii="Arial" w:hAnsi="Arial" w:cs="Arial"/>
                <w:sz w:val="22"/>
                <w:szCs w:val="22"/>
              </w:rPr>
              <w:t xml:space="preserve">haft og formentligt vil få </w:t>
            </w:r>
            <w:r w:rsidR="006E06DB" w:rsidRPr="007D0C86">
              <w:rPr>
                <w:rFonts w:ascii="Arial" w:hAnsi="Arial" w:cs="Arial"/>
                <w:sz w:val="22"/>
                <w:szCs w:val="22"/>
              </w:rPr>
              <w:t>for fiskerierhvervet og forsyningen af fødevarer til det europæiske marked.</w:t>
            </w:r>
            <w:r w:rsidR="006E06DB" w:rsidRPr="007D0C86">
              <w:rPr>
                <w:rFonts w:ascii="Arial" w:hAnsi="Arial" w:cs="Arial"/>
                <w:sz w:val="22"/>
                <w:szCs w:val="22"/>
              </w:rPr>
              <w:br/>
            </w:r>
          </w:p>
          <w:p w14:paraId="389AF88F" w14:textId="20CC5364" w:rsidR="006E06DB" w:rsidRPr="007D0C86" w:rsidRDefault="006E06DB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t xml:space="preserve">Fiskerierhvervet i EU oplever i øjeblikket voldsomme prisstigninger på brændstof. Så voldsomme, at det vil få negative konsekvenser for fiskerflåden </w:t>
            </w:r>
            <w:r w:rsidR="00EA6F74">
              <w:rPr>
                <w:rFonts w:ascii="Arial" w:hAnsi="Arial" w:cs="Arial"/>
                <w:sz w:val="22"/>
                <w:szCs w:val="22"/>
              </w:rPr>
              <w:t xml:space="preserve">både </w:t>
            </w:r>
            <w:r w:rsidRPr="007D0C86">
              <w:rPr>
                <w:rFonts w:ascii="Arial" w:hAnsi="Arial" w:cs="Arial"/>
                <w:sz w:val="22"/>
                <w:szCs w:val="22"/>
              </w:rPr>
              <w:t>på kort og længere sigt.</w:t>
            </w:r>
          </w:p>
          <w:p w14:paraId="1D42E7E4" w14:textId="2AC6DEE3" w:rsidR="006E06DB" w:rsidRPr="007D0C86" w:rsidRDefault="006E06DB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6161C3" w14:textId="37CB3A03" w:rsidR="006E06DB" w:rsidRPr="007D0C86" w:rsidRDefault="006E06DB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t xml:space="preserve">Brændstofprisernes himmelflugt, som allerede kunne </w:t>
            </w:r>
            <w:proofErr w:type="gramStart"/>
            <w:r w:rsidRPr="007D0C86">
              <w:rPr>
                <w:rFonts w:ascii="Arial" w:hAnsi="Arial" w:cs="Arial"/>
                <w:sz w:val="22"/>
                <w:szCs w:val="22"/>
              </w:rPr>
              <w:t>konstateres</w:t>
            </w:r>
            <w:proofErr w:type="gramEnd"/>
            <w:r w:rsidRPr="007D0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C86">
              <w:rPr>
                <w:rFonts w:ascii="Arial" w:hAnsi="Arial" w:cs="Arial"/>
                <w:sz w:val="22"/>
                <w:szCs w:val="22"/>
              </w:rPr>
              <w:t xml:space="preserve">være </w:t>
            </w:r>
            <w:r w:rsidRPr="007D0C86">
              <w:rPr>
                <w:rFonts w:ascii="Arial" w:hAnsi="Arial" w:cs="Arial"/>
                <w:sz w:val="22"/>
                <w:szCs w:val="22"/>
              </w:rPr>
              <w:t>på vej inden Ruslands invasion af Ukraine</w:t>
            </w:r>
            <w:r w:rsidR="007D0C86">
              <w:rPr>
                <w:rFonts w:ascii="Arial" w:hAnsi="Arial" w:cs="Arial"/>
                <w:sz w:val="22"/>
                <w:szCs w:val="22"/>
              </w:rPr>
              <w:t xml:space="preserve"> og siden kun er blevet værre, </w:t>
            </w:r>
            <w:r w:rsidRPr="007D0C86">
              <w:rPr>
                <w:rFonts w:ascii="Arial" w:hAnsi="Arial" w:cs="Arial"/>
                <w:sz w:val="22"/>
                <w:szCs w:val="22"/>
              </w:rPr>
              <w:t xml:space="preserve">har medført, at flere fartøjer ligger i havn uden mulighed for at fiske uden et </w:t>
            </w:r>
            <w:r w:rsidR="00B1186F" w:rsidRPr="007D0C86">
              <w:rPr>
                <w:rFonts w:ascii="Arial" w:hAnsi="Arial" w:cs="Arial"/>
                <w:sz w:val="22"/>
                <w:szCs w:val="22"/>
              </w:rPr>
              <w:t>betragteligt underskud.</w:t>
            </w:r>
            <w:r w:rsidRPr="007D0C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86F" w:rsidRPr="007D0C86">
              <w:rPr>
                <w:rFonts w:ascii="Arial" w:hAnsi="Arial" w:cs="Arial"/>
                <w:sz w:val="22"/>
                <w:szCs w:val="22"/>
              </w:rPr>
              <w:t>Forskellen mellem variable omkostninger og det forventede overskud på fiskeriaktiviteten er simpelthen for høj.</w:t>
            </w:r>
          </w:p>
          <w:p w14:paraId="1D517AE7" w14:textId="59E49EE6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2B0B320" w14:textId="0E158407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t xml:space="preserve">Denne situation underminerer i betragtelig grad markedsudbuddet samtidig med, at efterspørgslen efter fisk formentlig vil være nogenlunde stabil. </w:t>
            </w:r>
          </w:p>
          <w:p w14:paraId="6A76C9BF" w14:textId="6A268FFB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6E8A17" w14:textId="63F1DCA2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lastRenderedPageBreak/>
              <w:t>Det er med andre ord en meget ustabil situation, som fiskerierhvervet befinder sig i og fremtidsudsigterne ser umiddelbart dystre ud.</w:t>
            </w:r>
          </w:p>
          <w:p w14:paraId="50AA2903" w14:textId="2AF44317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BE8B84" w14:textId="0A7D568A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t>Danmarks Fiskeriforening og Danmarks Pelagiske PO håber, at den nuværende situation kan give anledning til</w:t>
            </w:r>
            <w:r w:rsidR="00EA6F74">
              <w:rPr>
                <w:rFonts w:ascii="Arial" w:hAnsi="Arial" w:cs="Arial"/>
                <w:sz w:val="22"/>
                <w:szCs w:val="22"/>
              </w:rPr>
              <w:t>,</w:t>
            </w:r>
            <w:r w:rsidRPr="007D0C86">
              <w:rPr>
                <w:rFonts w:ascii="Arial" w:hAnsi="Arial" w:cs="Arial"/>
                <w:sz w:val="22"/>
                <w:szCs w:val="22"/>
              </w:rPr>
              <w:t xml:space="preserve"> at erhverv, myndigheder og øvrige beslutningstagere i den nærmeste fremtid sætter sig sammen for at drøfte, hvordan vi kan undgå en lignende situation i fremtiden. Ikke bare på fiskeriområdet, men på hele fødevareområdet.</w:t>
            </w:r>
          </w:p>
          <w:p w14:paraId="15CF27DD" w14:textId="47390634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1AFC637" w14:textId="74D6904B" w:rsidR="00B1186F" w:rsidRPr="007D0C86" w:rsidRDefault="00B1186F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sz w:val="22"/>
                <w:szCs w:val="22"/>
              </w:rPr>
              <w:t>Det er vigtigt, at erhvervet inddrages i en sådan debat om fremtidssikring af fødevareforsyningen</w:t>
            </w:r>
            <w:r w:rsidR="007D0C86" w:rsidRPr="007D0C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2312B1" w14:textId="6D27C78F" w:rsidR="006E06DB" w:rsidRPr="007D0C86" w:rsidRDefault="006E06DB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C2D3AF" w14:textId="327A1F83" w:rsidR="00895F8B" w:rsidRPr="00EA6F74" w:rsidRDefault="00895F8B" w:rsidP="007D0C8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17C0FB" w14:textId="77777777" w:rsidR="007D0C86" w:rsidRPr="00EA6F74" w:rsidRDefault="007D0C86" w:rsidP="007D0C86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E3F9926" w14:textId="77777777" w:rsidR="00BE5F1A" w:rsidRPr="007D0C86" w:rsidRDefault="00BE5F1A" w:rsidP="007D0C86">
            <w:pPr>
              <w:spacing w:line="276" w:lineRule="auto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D0C86">
              <w:rPr>
                <w:rFonts w:ascii="Arial" w:hAnsi="Arial" w:cs="Arial"/>
                <w:iCs/>
                <w:sz w:val="22"/>
                <w:szCs w:val="22"/>
              </w:rPr>
              <w:t>Med venlig hilsen</w:t>
            </w:r>
          </w:p>
          <w:p w14:paraId="08E2FF9B" w14:textId="77777777" w:rsidR="00BE5F1A" w:rsidRPr="007D0C86" w:rsidRDefault="00BE5F1A" w:rsidP="007D0C8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1B5963" w:rsidRPr="007D0C86" w14:paraId="2F8FEEC8" w14:textId="77777777" w:rsidTr="001B5963">
              <w:tc>
                <w:tcPr>
                  <w:tcW w:w="4531" w:type="dxa"/>
                </w:tcPr>
                <w:p w14:paraId="7EAB1B3E" w14:textId="56E243E4" w:rsidR="001B5963" w:rsidRPr="007D0C86" w:rsidRDefault="001B5963" w:rsidP="007D0C86">
                  <w:pPr>
                    <w:spacing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0C86">
                    <w:rPr>
                      <w:rFonts w:ascii="Arial" w:hAnsi="Arial" w:cs="Arial"/>
                      <w:sz w:val="22"/>
                      <w:szCs w:val="22"/>
                    </w:rPr>
                    <w:t>Danmarks Fiskeriforening PO</w:t>
                  </w:r>
                </w:p>
              </w:tc>
              <w:tc>
                <w:tcPr>
                  <w:tcW w:w="4531" w:type="dxa"/>
                </w:tcPr>
                <w:p w14:paraId="0541275E" w14:textId="0C4098C2" w:rsidR="001B5963" w:rsidRPr="007D0C86" w:rsidRDefault="001B5963" w:rsidP="007D0C86">
                  <w:pPr>
                    <w:spacing w:after="12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0C86">
                    <w:rPr>
                      <w:rFonts w:ascii="Arial" w:hAnsi="Arial" w:cs="Arial"/>
                      <w:sz w:val="22"/>
                      <w:szCs w:val="22"/>
                    </w:rPr>
                    <w:t xml:space="preserve"> Danmarks Pelagiske Producentorganisation</w:t>
                  </w:r>
                </w:p>
              </w:tc>
            </w:tr>
          </w:tbl>
          <w:p w14:paraId="69A69D67" w14:textId="77777777" w:rsidR="00BE5F1A" w:rsidRPr="00F571EF" w:rsidRDefault="00BE5F1A" w:rsidP="001B5963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tcMar>
              <w:left w:w="0" w:type="dxa"/>
              <w:right w:w="0" w:type="dxa"/>
            </w:tcMar>
          </w:tcPr>
          <w:p w14:paraId="37F156AE" w14:textId="77777777" w:rsidR="00BE5F1A" w:rsidRPr="00F571EF" w:rsidRDefault="00BE5F1A" w:rsidP="0075078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F81443D" w14:textId="77777777" w:rsidR="00E33390" w:rsidRPr="00F571EF" w:rsidRDefault="00292FC7">
      <w:pPr>
        <w:rPr>
          <w:rFonts w:ascii="Arial" w:hAnsi="Arial" w:cs="Arial"/>
          <w:sz w:val="22"/>
          <w:szCs w:val="22"/>
        </w:rPr>
      </w:pPr>
    </w:p>
    <w:p w14:paraId="1D23E2DB" w14:textId="77777777" w:rsidR="00210AE6" w:rsidRPr="00F571EF" w:rsidRDefault="00210AE6">
      <w:pPr>
        <w:rPr>
          <w:rFonts w:ascii="Arial" w:hAnsi="Arial" w:cs="Arial"/>
          <w:sz w:val="22"/>
          <w:szCs w:val="22"/>
        </w:rPr>
      </w:pPr>
    </w:p>
    <w:sectPr w:rsidR="00210AE6" w:rsidRPr="00F571EF" w:rsidSect="00B6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10FB" w14:textId="77777777" w:rsidR="00292FC7" w:rsidRDefault="00292FC7">
      <w:r>
        <w:separator/>
      </w:r>
    </w:p>
  </w:endnote>
  <w:endnote w:type="continuationSeparator" w:id="0">
    <w:p w14:paraId="110729A7" w14:textId="77777777" w:rsidR="00292FC7" w:rsidRDefault="0029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346F" w14:textId="77777777"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5EC63E9" w14:textId="77777777" w:rsidR="00E33390" w:rsidRDefault="00292F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BE62" w14:textId="77777777"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Pr="005C7B5C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14:paraId="0E719690" w14:textId="77777777" w:rsidR="00E33390" w:rsidRDefault="00292F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AAE9" w14:textId="77777777" w:rsidR="00E33390" w:rsidRDefault="00292FC7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2B96" w14:textId="77777777" w:rsidR="00292FC7" w:rsidRDefault="00292FC7">
      <w:r>
        <w:separator/>
      </w:r>
    </w:p>
  </w:footnote>
  <w:footnote w:type="continuationSeparator" w:id="0">
    <w:p w14:paraId="357134CB" w14:textId="77777777" w:rsidR="00292FC7" w:rsidRDefault="0029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A489" w14:textId="77777777"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6CCF0E3" w14:textId="77777777" w:rsidR="00E33390" w:rsidRDefault="00292FC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8140" w14:textId="77777777" w:rsidR="00E33390" w:rsidRDefault="00292FC7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</w:tblGrid>
    <w:tr w:rsidR="001776DA" w:rsidRPr="0064758B" w14:paraId="046596D0" w14:textId="77777777">
      <w:tc>
        <w:tcPr>
          <w:tcW w:w="4678" w:type="dxa"/>
        </w:tcPr>
        <w:p w14:paraId="67DC2ADF" w14:textId="24F22488" w:rsidR="001776DA" w:rsidRPr="001776DA" w:rsidRDefault="001776DA" w:rsidP="001776DA">
          <w:pPr>
            <w:pStyle w:val="Sidefod"/>
            <w:jc w:val="right"/>
          </w:pPr>
        </w:p>
      </w:tc>
    </w:tr>
  </w:tbl>
  <w:p w14:paraId="48576F52" w14:textId="77777777" w:rsidR="00E33390" w:rsidRPr="0064758B" w:rsidRDefault="00292FC7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5D567ABF" w14:textId="77777777" w:rsidR="00E33390" w:rsidRPr="0064758B" w:rsidRDefault="00292FC7" w:rsidP="001776DA">
    <w:pPr>
      <w:pStyle w:val="Sidefod"/>
      <w:rPr>
        <w:rFonts w:ascii="Arial" w:hAnsi="Arial"/>
        <w:b/>
        <w:caps/>
        <w:color w:val="333333"/>
        <w:sz w:val="18"/>
      </w:rPr>
    </w:pPr>
  </w:p>
  <w:p w14:paraId="59AFE90C" w14:textId="77777777" w:rsidR="00E33390" w:rsidRPr="0064758B" w:rsidRDefault="00292FC7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4C8C4E45" w14:textId="77777777" w:rsidR="00E33390" w:rsidRPr="0064758B" w:rsidRDefault="00292FC7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E536" w14:textId="54A0040F" w:rsidR="00E33390" w:rsidRDefault="009E50D7" w:rsidP="009E50D7">
    <w:pPr>
      <w:jc w:val="right"/>
    </w:pPr>
    <w:r>
      <w:rPr>
        <w:noProof/>
      </w:rPr>
      <w:drawing>
        <wp:inline distT="0" distB="0" distL="0" distR="0" wp14:anchorId="19C88D24" wp14:editId="3DDB61D0">
          <wp:extent cx="2774950" cy="584200"/>
          <wp:effectExtent l="0" t="0" r="6350" b="635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02"/>
    </w:tblGrid>
    <w:tr w:rsidR="00AE3F56" w:rsidRPr="00AC6944" w14:paraId="614A810E" w14:textId="77777777">
      <w:trPr>
        <w:trHeight w:val="3103"/>
      </w:trPr>
      <w:tc>
        <w:tcPr>
          <w:tcW w:w="5002" w:type="dxa"/>
        </w:tcPr>
        <w:p w14:paraId="766023CE" w14:textId="4C21DC8F" w:rsidR="00BB44A0" w:rsidRPr="00BE5F1A" w:rsidRDefault="00BB44A0" w:rsidP="00BD591B">
          <w:pPr>
            <w:pStyle w:val="Sidefod"/>
            <w:rPr>
              <w:rFonts w:ascii="Arial" w:hAnsi="Arial"/>
              <w:color w:val="808080"/>
              <w:sz w:val="18"/>
            </w:rPr>
          </w:pPr>
        </w:p>
      </w:tc>
    </w:tr>
  </w:tbl>
  <w:p w14:paraId="0245F398" w14:textId="77777777" w:rsidR="00E33390" w:rsidRPr="00BE5F1A" w:rsidRDefault="00292FC7" w:rsidP="00A760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4AC5"/>
    <w:multiLevelType w:val="hybridMultilevel"/>
    <w:tmpl w:val="71A431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4EF1"/>
    <w:multiLevelType w:val="hybridMultilevel"/>
    <w:tmpl w:val="77D0F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B4C"/>
    <w:multiLevelType w:val="hybridMultilevel"/>
    <w:tmpl w:val="BDCCECE2"/>
    <w:lvl w:ilvl="0" w:tplc="2D56C70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136C3"/>
    <w:rsid w:val="00052AE6"/>
    <w:rsid w:val="00053B12"/>
    <w:rsid w:val="00053B64"/>
    <w:rsid w:val="00065EB0"/>
    <w:rsid w:val="00084B9B"/>
    <w:rsid w:val="000A5354"/>
    <w:rsid w:val="000C6A82"/>
    <w:rsid w:val="000D42B0"/>
    <w:rsid w:val="00111170"/>
    <w:rsid w:val="001776DA"/>
    <w:rsid w:val="001816DC"/>
    <w:rsid w:val="001B5963"/>
    <w:rsid w:val="001C7DD7"/>
    <w:rsid w:val="001D08E4"/>
    <w:rsid w:val="001D6014"/>
    <w:rsid w:val="001F1255"/>
    <w:rsid w:val="001F39F0"/>
    <w:rsid w:val="001F5A38"/>
    <w:rsid w:val="00210AE6"/>
    <w:rsid w:val="00242028"/>
    <w:rsid w:val="00250EE1"/>
    <w:rsid w:val="00252959"/>
    <w:rsid w:val="00262529"/>
    <w:rsid w:val="00267C89"/>
    <w:rsid w:val="00292FC7"/>
    <w:rsid w:val="002A2CE1"/>
    <w:rsid w:val="002C120F"/>
    <w:rsid w:val="002F1092"/>
    <w:rsid w:val="003C2677"/>
    <w:rsid w:val="003E0D19"/>
    <w:rsid w:val="004007F4"/>
    <w:rsid w:val="00401EBE"/>
    <w:rsid w:val="0040562C"/>
    <w:rsid w:val="004104DD"/>
    <w:rsid w:val="00420C16"/>
    <w:rsid w:val="00427B56"/>
    <w:rsid w:val="004323A7"/>
    <w:rsid w:val="00442489"/>
    <w:rsid w:val="00457D91"/>
    <w:rsid w:val="00497D6E"/>
    <w:rsid w:val="004A40F1"/>
    <w:rsid w:val="004D78F8"/>
    <w:rsid w:val="004F2300"/>
    <w:rsid w:val="005549D6"/>
    <w:rsid w:val="00576574"/>
    <w:rsid w:val="005829DF"/>
    <w:rsid w:val="005B1173"/>
    <w:rsid w:val="005B2416"/>
    <w:rsid w:val="005B418A"/>
    <w:rsid w:val="005B5BBA"/>
    <w:rsid w:val="005C023F"/>
    <w:rsid w:val="005E5152"/>
    <w:rsid w:val="005F08B2"/>
    <w:rsid w:val="005F3468"/>
    <w:rsid w:val="005F4F4C"/>
    <w:rsid w:val="00613E73"/>
    <w:rsid w:val="006321C9"/>
    <w:rsid w:val="0065084B"/>
    <w:rsid w:val="006762A3"/>
    <w:rsid w:val="006819D1"/>
    <w:rsid w:val="00685D99"/>
    <w:rsid w:val="006E06DB"/>
    <w:rsid w:val="006E702E"/>
    <w:rsid w:val="006F5666"/>
    <w:rsid w:val="0072100D"/>
    <w:rsid w:val="0072600A"/>
    <w:rsid w:val="007300A0"/>
    <w:rsid w:val="00736953"/>
    <w:rsid w:val="00742808"/>
    <w:rsid w:val="0075078B"/>
    <w:rsid w:val="00786F41"/>
    <w:rsid w:val="007B60C8"/>
    <w:rsid w:val="007C6772"/>
    <w:rsid w:val="007C6AD0"/>
    <w:rsid w:val="007D0003"/>
    <w:rsid w:val="007D0C86"/>
    <w:rsid w:val="007D35FB"/>
    <w:rsid w:val="007E1623"/>
    <w:rsid w:val="00802A06"/>
    <w:rsid w:val="00816210"/>
    <w:rsid w:val="00816F2D"/>
    <w:rsid w:val="00823886"/>
    <w:rsid w:val="00833CDC"/>
    <w:rsid w:val="0087438D"/>
    <w:rsid w:val="00882A95"/>
    <w:rsid w:val="00895F8B"/>
    <w:rsid w:val="008A2CFC"/>
    <w:rsid w:val="008A5B73"/>
    <w:rsid w:val="008A754E"/>
    <w:rsid w:val="008E5658"/>
    <w:rsid w:val="009340BE"/>
    <w:rsid w:val="009426BD"/>
    <w:rsid w:val="00942CBF"/>
    <w:rsid w:val="00956EF6"/>
    <w:rsid w:val="0097544F"/>
    <w:rsid w:val="00980AD1"/>
    <w:rsid w:val="00984FBA"/>
    <w:rsid w:val="009902D6"/>
    <w:rsid w:val="00994757"/>
    <w:rsid w:val="009D1363"/>
    <w:rsid w:val="009E0D49"/>
    <w:rsid w:val="009E50D7"/>
    <w:rsid w:val="009F06EE"/>
    <w:rsid w:val="00A14ED7"/>
    <w:rsid w:val="00A1536D"/>
    <w:rsid w:val="00A27D7E"/>
    <w:rsid w:val="00A4203A"/>
    <w:rsid w:val="00A76079"/>
    <w:rsid w:val="00A86B94"/>
    <w:rsid w:val="00A91CA0"/>
    <w:rsid w:val="00AC5B11"/>
    <w:rsid w:val="00AC6944"/>
    <w:rsid w:val="00AD5EEC"/>
    <w:rsid w:val="00AE3F56"/>
    <w:rsid w:val="00AE47EA"/>
    <w:rsid w:val="00B1186F"/>
    <w:rsid w:val="00B455AF"/>
    <w:rsid w:val="00B56072"/>
    <w:rsid w:val="00B6125B"/>
    <w:rsid w:val="00B620B2"/>
    <w:rsid w:val="00B76206"/>
    <w:rsid w:val="00B84D65"/>
    <w:rsid w:val="00B86380"/>
    <w:rsid w:val="00B93D68"/>
    <w:rsid w:val="00BB44A0"/>
    <w:rsid w:val="00BC0779"/>
    <w:rsid w:val="00BC0BB6"/>
    <w:rsid w:val="00BD591B"/>
    <w:rsid w:val="00BE4EF8"/>
    <w:rsid w:val="00BE5F1A"/>
    <w:rsid w:val="00C66AD3"/>
    <w:rsid w:val="00C825F4"/>
    <w:rsid w:val="00C93FF8"/>
    <w:rsid w:val="00CA4263"/>
    <w:rsid w:val="00CA45BA"/>
    <w:rsid w:val="00CB563D"/>
    <w:rsid w:val="00CC303C"/>
    <w:rsid w:val="00CC6967"/>
    <w:rsid w:val="00CF3202"/>
    <w:rsid w:val="00D67405"/>
    <w:rsid w:val="00D85E92"/>
    <w:rsid w:val="00D86187"/>
    <w:rsid w:val="00D93A72"/>
    <w:rsid w:val="00DA3A35"/>
    <w:rsid w:val="00DA5B4A"/>
    <w:rsid w:val="00DB6778"/>
    <w:rsid w:val="00DC1A0C"/>
    <w:rsid w:val="00E0362E"/>
    <w:rsid w:val="00E7750B"/>
    <w:rsid w:val="00EA3CC6"/>
    <w:rsid w:val="00EA6F74"/>
    <w:rsid w:val="00EB0E95"/>
    <w:rsid w:val="00EB768D"/>
    <w:rsid w:val="00EC6B83"/>
    <w:rsid w:val="00ED1866"/>
    <w:rsid w:val="00F52008"/>
    <w:rsid w:val="00F5410D"/>
    <w:rsid w:val="00F5634A"/>
    <w:rsid w:val="00F56901"/>
    <w:rsid w:val="00F571EF"/>
    <w:rsid w:val="00F70A64"/>
    <w:rsid w:val="00FA1217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62883"/>
  <w15:docId w15:val="{1CB63281-73B8-3243-825F-E998549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66AD3"/>
    <w:rPr>
      <w:color w:val="003968"/>
      <w:u w:val="non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B44A0"/>
    <w:rPr>
      <w:color w:val="808080"/>
      <w:shd w:val="clear" w:color="auto" w:fill="E6E6E6"/>
    </w:rPr>
  </w:style>
  <w:style w:type="paragraph" w:styleId="Listeafsnit">
    <w:name w:val="List Paragraph"/>
    <w:basedOn w:val="Normal"/>
    <w:link w:val="ListeafsnitTegn"/>
    <w:uiPriority w:val="34"/>
    <w:qFormat/>
    <w:rsid w:val="000136C3"/>
    <w:pPr>
      <w:ind w:left="720"/>
      <w:contextualSpacing/>
    </w:pPr>
  </w:style>
  <w:style w:type="paragraph" w:styleId="Fodnotetekst">
    <w:name w:val="footnote text"/>
    <w:aliases w:val="Tegn, Tegn"/>
    <w:basedOn w:val="Normal"/>
    <w:link w:val="FodnotetekstTegn"/>
    <w:uiPriority w:val="99"/>
    <w:unhideWhenUsed/>
    <w:rsid w:val="00EB0E95"/>
    <w:rPr>
      <w:rFonts w:ascii="Verdana" w:eastAsia="SimSun" w:hAnsi="Verdana"/>
      <w:sz w:val="20"/>
    </w:rPr>
  </w:style>
  <w:style w:type="character" w:customStyle="1" w:styleId="FodnotetekstTegn">
    <w:name w:val="Fodnotetekst Tegn"/>
    <w:aliases w:val="Tegn Tegn, Tegn Tegn"/>
    <w:basedOn w:val="Standardskrifttypeiafsnit"/>
    <w:link w:val="Fodnotetekst"/>
    <w:uiPriority w:val="99"/>
    <w:rsid w:val="00EB0E95"/>
    <w:rPr>
      <w:rFonts w:ascii="Verdana" w:eastAsia="SimSun" w:hAnsi="Verdana"/>
    </w:rPr>
  </w:style>
  <w:style w:type="character" w:styleId="Fodnotehenvisning">
    <w:name w:val="footnote reference"/>
    <w:aliases w:val="stylish"/>
    <w:uiPriority w:val="99"/>
    <w:unhideWhenUsed/>
    <w:rsid w:val="00EB0E95"/>
    <w:rPr>
      <w:vertAlign w:val="superscript"/>
    </w:rPr>
  </w:style>
  <w:style w:type="character" w:customStyle="1" w:styleId="ListeafsnitTegn">
    <w:name w:val="Listeafsnit Tegn"/>
    <w:link w:val="Listeafsnit"/>
    <w:uiPriority w:val="34"/>
    <w:locked/>
    <w:rsid w:val="00EB0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693AC-3D08-4993-861E-F1DEDC42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2449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Steen Sørensen</dc:creator>
  <cp:lastModifiedBy>Thomas Wenzel Kruse</cp:lastModifiedBy>
  <cp:revision>2</cp:revision>
  <cp:lastPrinted>2018-08-07T12:45:00Z</cp:lastPrinted>
  <dcterms:created xsi:type="dcterms:W3CDTF">2022-03-22T16:23:00Z</dcterms:created>
  <dcterms:modified xsi:type="dcterms:W3CDTF">2022-03-22T16:23:00Z</dcterms:modified>
</cp:coreProperties>
</file>