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leftFromText="181" w:rightFromText="181" w:vertAnchor="text" w:horzAnchor="margin" w:tblpY="-2125"/>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3"/>
      </w:tblGrid>
      <w:tr w:rsidR="00E33390" w:rsidRPr="00C93FF8" w14:paraId="3B81423E" w14:textId="77777777" w:rsidTr="007D0003">
        <w:tc>
          <w:tcPr>
            <w:tcW w:w="4503" w:type="dxa"/>
          </w:tcPr>
          <w:p w14:paraId="6AFBF4A6" w14:textId="166AE24E" w:rsidR="00C93FF8" w:rsidRPr="00921FB6" w:rsidRDefault="0059462C" w:rsidP="00921FB6">
            <w:pPr>
              <w:spacing w:line="276" w:lineRule="auto"/>
              <w:ind w:left="-567" w:firstLine="567"/>
              <w:rPr>
                <w:rFonts w:ascii="Arial" w:hAnsi="Arial" w:cs="Arial"/>
                <w:szCs w:val="24"/>
              </w:rPr>
            </w:pPr>
            <w:r>
              <w:rPr>
                <w:rFonts w:ascii="Arial" w:hAnsi="Arial" w:cs="Arial"/>
                <w:szCs w:val="24"/>
              </w:rPr>
              <w:t>Fiskeristyrelsen</w:t>
            </w:r>
          </w:p>
          <w:p w14:paraId="6759BA5F" w14:textId="1D787ECA" w:rsidR="00816F2D" w:rsidRPr="00921FB6" w:rsidRDefault="002E3BB2" w:rsidP="00921FB6">
            <w:pPr>
              <w:spacing w:line="276" w:lineRule="auto"/>
              <w:ind w:left="-567" w:firstLine="567"/>
              <w:rPr>
                <w:rFonts w:ascii="Arial" w:hAnsi="Arial" w:cs="Arial"/>
                <w:szCs w:val="24"/>
              </w:rPr>
            </w:pPr>
            <w:r>
              <w:rPr>
                <w:rFonts w:ascii="Arial" w:hAnsi="Arial" w:cs="Arial"/>
                <w:szCs w:val="24"/>
              </w:rPr>
              <w:t>Nyropsgade 13</w:t>
            </w:r>
          </w:p>
          <w:p w14:paraId="6A7C3EC7" w14:textId="761545C3" w:rsidR="00816F2D" w:rsidRPr="00921FB6" w:rsidRDefault="00CC0A65" w:rsidP="00921FB6">
            <w:pPr>
              <w:spacing w:line="276" w:lineRule="auto"/>
              <w:ind w:left="-567" w:firstLine="567"/>
              <w:rPr>
                <w:rFonts w:ascii="Arial" w:hAnsi="Arial" w:cs="Arial"/>
                <w:szCs w:val="24"/>
              </w:rPr>
            </w:pPr>
            <w:r w:rsidRPr="00921FB6">
              <w:rPr>
                <w:rFonts w:ascii="Arial" w:hAnsi="Arial" w:cs="Arial"/>
                <w:szCs w:val="24"/>
              </w:rPr>
              <w:t>1</w:t>
            </w:r>
            <w:r w:rsidR="002E3BB2">
              <w:rPr>
                <w:rFonts w:ascii="Arial" w:hAnsi="Arial" w:cs="Arial"/>
                <w:szCs w:val="24"/>
              </w:rPr>
              <w:t>780</w:t>
            </w:r>
            <w:r w:rsidRPr="00921FB6">
              <w:rPr>
                <w:rFonts w:ascii="Arial" w:hAnsi="Arial" w:cs="Arial"/>
                <w:szCs w:val="24"/>
              </w:rPr>
              <w:t xml:space="preserve"> København </w:t>
            </w:r>
            <w:r w:rsidR="002E3BB2">
              <w:rPr>
                <w:rFonts w:ascii="Arial" w:hAnsi="Arial" w:cs="Arial"/>
                <w:szCs w:val="24"/>
              </w:rPr>
              <w:t>V.</w:t>
            </w:r>
          </w:p>
        </w:tc>
      </w:tr>
    </w:tbl>
    <w:p w14:paraId="68D71837" w14:textId="77777777" w:rsidR="002A2CE1" w:rsidRPr="00C93FF8" w:rsidRDefault="002A2CE1" w:rsidP="00921FB6">
      <w:pPr>
        <w:spacing w:line="276" w:lineRule="auto"/>
        <w:rPr>
          <w:rFonts w:ascii="Arial" w:hAnsi="Arial" w:cs="Arial"/>
          <w:sz w:val="22"/>
          <w:szCs w:val="22"/>
        </w:rPr>
      </w:pPr>
      <w:r w:rsidRPr="00C93FF8">
        <w:rPr>
          <w:rFonts w:ascii="Arial" w:hAnsi="Arial" w:cs="Arial"/>
          <w:sz w:val="22"/>
          <w:szCs w:val="22"/>
        </w:rPr>
        <w:tab/>
      </w:r>
      <w:r w:rsidRPr="00C93FF8">
        <w:rPr>
          <w:rFonts w:ascii="Arial" w:hAnsi="Arial" w:cs="Arial"/>
          <w:sz w:val="22"/>
          <w:szCs w:val="22"/>
        </w:rPr>
        <w:tab/>
      </w:r>
    </w:p>
    <w:tbl>
      <w:tblPr>
        <w:tblStyle w:val="Tabel-Gitter"/>
        <w:tblW w:w="21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tblGrid>
      <w:tr w:rsidR="002A2CE1" w:rsidRPr="00F571EF" w14:paraId="464ECACA" w14:textId="77777777" w:rsidTr="004007F4">
        <w:trPr>
          <w:trHeight w:val="268"/>
          <w:jc w:val="right"/>
        </w:trPr>
        <w:tc>
          <w:tcPr>
            <w:tcW w:w="2121" w:type="dxa"/>
          </w:tcPr>
          <w:p w14:paraId="1EC8F210" w14:textId="001B588D" w:rsidR="004007F4" w:rsidRPr="00F571EF" w:rsidRDefault="0059462C" w:rsidP="00921FB6">
            <w:pPr>
              <w:spacing w:line="276" w:lineRule="auto"/>
              <w:rPr>
                <w:rFonts w:ascii="Arial" w:hAnsi="Arial" w:cs="Arial"/>
                <w:color w:val="000000" w:themeColor="text1"/>
                <w:sz w:val="20"/>
              </w:rPr>
            </w:pPr>
            <w:r>
              <w:rPr>
                <w:rFonts w:ascii="Arial" w:hAnsi="Arial" w:cs="Arial"/>
                <w:color w:val="000000" w:themeColor="text1"/>
                <w:sz w:val="20"/>
              </w:rPr>
              <w:t>5</w:t>
            </w:r>
            <w:r w:rsidR="00942CBF">
              <w:rPr>
                <w:rFonts w:ascii="Arial" w:hAnsi="Arial" w:cs="Arial"/>
                <w:color w:val="000000" w:themeColor="text1"/>
                <w:sz w:val="20"/>
              </w:rPr>
              <w:t xml:space="preserve">. </w:t>
            </w:r>
            <w:r w:rsidR="001A39C2">
              <w:rPr>
                <w:rFonts w:ascii="Arial" w:hAnsi="Arial" w:cs="Arial"/>
                <w:color w:val="000000" w:themeColor="text1"/>
                <w:sz w:val="20"/>
              </w:rPr>
              <w:t>februar</w:t>
            </w:r>
            <w:r w:rsidR="004007F4" w:rsidRPr="00F571EF">
              <w:rPr>
                <w:rFonts w:ascii="Arial" w:hAnsi="Arial" w:cs="Arial"/>
                <w:color w:val="000000" w:themeColor="text1"/>
                <w:sz w:val="20"/>
              </w:rPr>
              <w:t xml:space="preserve"> 20</w:t>
            </w:r>
            <w:r w:rsidR="00CC0A65">
              <w:rPr>
                <w:rFonts w:ascii="Arial" w:hAnsi="Arial" w:cs="Arial"/>
                <w:color w:val="000000" w:themeColor="text1"/>
                <w:sz w:val="20"/>
              </w:rPr>
              <w:t>2</w:t>
            </w:r>
            <w:r>
              <w:rPr>
                <w:rFonts w:ascii="Arial" w:hAnsi="Arial" w:cs="Arial"/>
                <w:color w:val="000000" w:themeColor="text1"/>
                <w:sz w:val="20"/>
              </w:rPr>
              <w:t>1</w:t>
            </w:r>
          </w:p>
          <w:p w14:paraId="1DFB21DD" w14:textId="3E347D75" w:rsidR="002A2CE1" w:rsidRPr="00F571EF" w:rsidRDefault="004007F4" w:rsidP="00921FB6">
            <w:pPr>
              <w:spacing w:line="276" w:lineRule="auto"/>
              <w:rPr>
                <w:rFonts w:ascii="Arial" w:hAnsi="Arial" w:cs="Arial"/>
                <w:color w:val="000000" w:themeColor="text1"/>
                <w:sz w:val="20"/>
              </w:rPr>
            </w:pPr>
            <w:r w:rsidRPr="00F571EF">
              <w:rPr>
                <w:rFonts w:ascii="Arial" w:hAnsi="Arial" w:cs="Arial"/>
                <w:color w:val="000000" w:themeColor="text1"/>
                <w:sz w:val="20"/>
              </w:rPr>
              <w:t xml:space="preserve">Ref.: </w:t>
            </w:r>
            <w:proofErr w:type="spellStart"/>
            <w:r w:rsidR="0059462C">
              <w:rPr>
                <w:rFonts w:ascii="Arial" w:hAnsi="Arial" w:cs="Arial"/>
                <w:color w:val="000000" w:themeColor="text1"/>
                <w:sz w:val="20"/>
              </w:rPr>
              <w:t>hsl</w:t>
            </w:r>
            <w:proofErr w:type="spellEnd"/>
          </w:p>
        </w:tc>
      </w:tr>
    </w:tbl>
    <w:p w14:paraId="7643EEC5" w14:textId="77777777" w:rsidR="00E33390" w:rsidRPr="00F571EF" w:rsidRDefault="00991D3E" w:rsidP="008D17B2">
      <w:pPr>
        <w:spacing w:after="240" w:line="276" w:lineRule="auto"/>
        <w:ind w:left="3912" w:firstLine="1304"/>
        <w:rPr>
          <w:rFonts w:ascii="Arial" w:hAnsi="Arial" w:cs="Arial"/>
          <w:sz w:val="22"/>
          <w:szCs w:val="22"/>
        </w:rPr>
      </w:pPr>
    </w:p>
    <w:tbl>
      <w:tblPr>
        <w:tblStyle w:val="Tabel-Gitter"/>
        <w:tblW w:w="102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4A0" w:firstRow="1" w:lastRow="0" w:firstColumn="1" w:lastColumn="0" w:noHBand="0" w:noVBand="1"/>
      </w:tblPr>
      <w:tblGrid>
        <w:gridCol w:w="9639"/>
        <w:gridCol w:w="585"/>
      </w:tblGrid>
      <w:tr w:rsidR="00BE5F1A" w:rsidRPr="00F571EF" w14:paraId="40971805" w14:textId="77777777" w:rsidTr="00576574">
        <w:tc>
          <w:tcPr>
            <w:tcW w:w="9639" w:type="dxa"/>
          </w:tcPr>
          <w:p w14:paraId="0EF362FD" w14:textId="77777777" w:rsidR="0059462C" w:rsidRDefault="0059462C" w:rsidP="0059462C">
            <w:pPr>
              <w:pStyle w:val="Default"/>
            </w:pPr>
          </w:p>
          <w:p w14:paraId="2181331B" w14:textId="77048787" w:rsidR="0059462C" w:rsidRPr="009E6FBE" w:rsidRDefault="0059462C" w:rsidP="0059462C">
            <w:pPr>
              <w:pStyle w:val="Overskrift1"/>
              <w:rPr>
                <w:rFonts w:asciiTheme="minorHAnsi" w:hAnsiTheme="minorHAnsi" w:cstheme="minorHAnsi"/>
                <w:szCs w:val="28"/>
                <w:u w:val="single"/>
              </w:rPr>
            </w:pPr>
            <w:r w:rsidRPr="009E6FBE">
              <w:rPr>
                <w:rFonts w:asciiTheme="minorHAnsi" w:hAnsiTheme="minorHAnsi" w:cstheme="minorHAnsi"/>
                <w:szCs w:val="28"/>
                <w:u w:val="single"/>
              </w:rPr>
              <w:t>Høring vedrørende ansøgning om kulturbanker</w:t>
            </w:r>
          </w:p>
          <w:p w14:paraId="74925B30" w14:textId="2943B5E4" w:rsidR="0059462C" w:rsidRDefault="0059462C" w:rsidP="0059462C">
            <w:pPr>
              <w:rPr>
                <w:b/>
              </w:rPr>
            </w:pPr>
          </w:p>
          <w:p w14:paraId="25A5ABD2" w14:textId="77777777" w:rsidR="009E6FBE" w:rsidRPr="00457D9F" w:rsidRDefault="009E6FBE" w:rsidP="0059462C">
            <w:pPr>
              <w:rPr>
                <w:b/>
              </w:rPr>
            </w:pPr>
          </w:p>
          <w:p w14:paraId="2DC12C1C" w14:textId="413250E7" w:rsidR="0059462C" w:rsidRPr="00457D9F" w:rsidRDefault="0059462C" w:rsidP="0059462C">
            <w:pPr>
              <w:rPr>
                <w:b/>
              </w:rPr>
            </w:pPr>
            <w:r w:rsidRPr="00457D9F">
              <w:rPr>
                <w:b/>
              </w:rPr>
              <w:t>Dette er et samlet svar for ansøgningerne</w:t>
            </w:r>
            <w:r w:rsidR="001A39C2">
              <w:rPr>
                <w:b/>
              </w:rPr>
              <w:t xml:space="preserve"> med høringsfrist 5. februar</w:t>
            </w:r>
            <w:r w:rsidRPr="00457D9F">
              <w:rPr>
                <w:b/>
              </w:rPr>
              <w:t>:</w:t>
            </w:r>
          </w:p>
          <w:p w14:paraId="66C608C2" w14:textId="5FBD4F69" w:rsidR="0059462C" w:rsidRDefault="0059462C" w:rsidP="0059462C">
            <w:pPr>
              <w:rPr>
                <w:b/>
              </w:rPr>
            </w:pPr>
          </w:p>
          <w:p w14:paraId="7C9C4ADA" w14:textId="543B6E19" w:rsidR="009E6FBE" w:rsidRDefault="001A39C2" w:rsidP="0059462C">
            <w:pPr>
              <w:rPr>
                <w:b/>
              </w:rPr>
            </w:pPr>
            <w:r>
              <w:rPr>
                <w:b/>
              </w:rPr>
              <w:t>Risgård bredning *2 anlæg</w:t>
            </w:r>
          </w:p>
          <w:p w14:paraId="3F28C5BF" w14:textId="668494B1" w:rsidR="001A39C2" w:rsidRDefault="001A39C2" w:rsidP="0059462C">
            <w:pPr>
              <w:rPr>
                <w:b/>
              </w:rPr>
            </w:pPr>
            <w:r>
              <w:rPr>
                <w:b/>
              </w:rPr>
              <w:t>Risgård bredning *</w:t>
            </w:r>
            <w:r>
              <w:rPr>
                <w:b/>
              </w:rPr>
              <w:t>1 anlæg</w:t>
            </w:r>
          </w:p>
          <w:p w14:paraId="69F9C53C" w14:textId="6F7005C0" w:rsidR="001A39C2" w:rsidRDefault="001A39C2" w:rsidP="0059462C">
            <w:pPr>
              <w:rPr>
                <w:b/>
              </w:rPr>
            </w:pPr>
            <w:r>
              <w:rPr>
                <w:b/>
              </w:rPr>
              <w:t>Kås bredning *2 anlæg</w:t>
            </w:r>
          </w:p>
          <w:p w14:paraId="36B858D4" w14:textId="50DE21FD" w:rsidR="001A39C2" w:rsidRPr="00457D9F" w:rsidRDefault="001A39C2" w:rsidP="0059462C">
            <w:pPr>
              <w:rPr>
                <w:b/>
              </w:rPr>
            </w:pPr>
            <w:r>
              <w:rPr>
                <w:b/>
              </w:rPr>
              <w:t>Kås bredning *1 anlæg</w:t>
            </w:r>
          </w:p>
          <w:p w14:paraId="33503E13" w14:textId="77777777" w:rsidR="009E6FBE" w:rsidRPr="00457D9F" w:rsidRDefault="009E6FBE" w:rsidP="0059462C">
            <w:pPr>
              <w:rPr>
                <w:b/>
              </w:rPr>
            </w:pPr>
          </w:p>
          <w:p w14:paraId="642CBA22" w14:textId="77777777" w:rsidR="0059462C" w:rsidRPr="00C0289E" w:rsidRDefault="0059462C" w:rsidP="0059462C">
            <w:pPr>
              <w:rPr>
                <w:sz w:val="20"/>
              </w:rPr>
            </w:pPr>
          </w:p>
          <w:p w14:paraId="22ED93ED" w14:textId="77777777" w:rsidR="0059462C" w:rsidRPr="00B52432" w:rsidRDefault="0059462C" w:rsidP="0059462C">
            <w:pPr>
              <w:rPr>
                <w:szCs w:val="24"/>
              </w:rPr>
            </w:pPr>
            <w:r w:rsidRPr="00B52432">
              <w:rPr>
                <w:szCs w:val="24"/>
              </w:rPr>
              <w:t>Danmarks Fiskeriforening PO (DFPO) og Centralforeningen for Limfjorden (CFL) har følgende bemærkninger til høringen, omkring etablering af kulturbanker i Limfjorden, i forhold til det eksisterende fiskeri i fjorden.</w:t>
            </w:r>
          </w:p>
          <w:p w14:paraId="0F50C251" w14:textId="77777777" w:rsidR="0059462C" w:rsidRPr="00B52432" w:rsidRDefault="0059462C" w:rsidP="0059462C">
            <w:pPr>
              <w:rPr>
                <w:szCs w:val="24"/>
              </w:rPr>
            </w:pPr>
          </w:p>
          <w:p w14:paraId="283B6163" w14:textId="18BFA8CB" w:rsidR="0059462C" w:rsidRPr="00B52432" w:rsidRDefault="0059462C" w:rsidP="0059462C">
            <w:pPr>
              <w:rPr>
                <w:szCs w:val="24"/>
              </w:rPr>
            </w:pPr>
            <w:r w:rsidRPr="00B52432">
              <w:rPr>
                <w:szCs w:val="24"/>
              </w:rPr>
              <w:t>Det er utroligt vigtigt at etableringen af kulturbanker i Limfjorden gribes an</w:t>
            </w:r>
            <w:r w:rsidR="009E6FBE">
              <w:rPr>
                <w:szCs w:val="24"/>
              </w:rPr>
              <w:t>,</w:t>
            </w:r>
            <w:r w:rsidRPr="00B52432">
              <w:rPr>
                <w:szCs w:val="24"/>
              </w:rPr>
              <w:t xml:space="preserve"> på den rigtige måde fra starten af, da myndighederne ellers risikere at ødelægge det fiskeri der allerede foregår i fjorden. Det giver altså ikke mening at placere kulturbanker i områder hvor der allerede foregår fiskeri.</w:t>
            </w:r>
          </w:p>
          <w:p w14:paraId="0913E324" w14:textId="77777777" w:rsidR="0059462C" w:rsidRPr="00B52432" w:rsidRDefault="0059462C" w:rsidP="0059462C">
            <w:pPr>
              <w:rPr>
                <w:szCs w:val="24"/>
              </w:rPr>
            </w:pPr>
          </w:p>
          <w:p w14:paraId="5AFD9D31" w14:textId="77777777" w:rsidR="0059462C" w:rsidRPr="00B52432" w:rsidRDefault="0059462C" w:rsidP="0059462C">
            <w:pPr>
              <w:rPr>
                <w:szCs w:val="24"/>
              </w:rPr>
            </w:pPr>
            <w:r w:rsidRPr="00B52432">
              <w:rPr>
                <w:szCs w:val="24"/>
              </w:rPr>
              <w:t>Overordnet vil DFPO og CFL anbefale at det indføres i bekendtgørelsen omkring kulturbanker, at tilladelser til kulturbanker, kun kan ansøges af personer der er indehaver af FTA muslingeandele for muslingekulturbanker og indehaver af FTA østersandele for østerskulturbanker. Dette for at begrænse det pres der ellers vil kunne opstå i et forholdsvis lukket fjordsystem som Limfjorden. Erhvervet ønsker ikke hollandske tilstande, hvor få store selskaber sidder på hovedparten af produktionen. Tildelingen af tilladelser bør sættes i bero indtil der er skabt et fyldestgørende overblik over anlæg i Limfjorden, passive som aktive. Der bør samtidig etableres et maksimum af anlæg pr. person eller selskab på 2 anlæg, samt gennemføres kontrol af at gældende regler opfyldes.</w:t>
            </w:r>
          </w:p>
          <w:p w14:paraId="4E8434B8" w14:textId="77777777" w:rsidR="0059462C" w:rsidRPr="00B52432" w:rsidRDefault="0059462C" w:rsidP="0059462C">
            <w:pPr>
              <w:rPr>
                <w:szCs w:val="24"/>
              </w:rPr>
            </w:pPr>
          </w:p>
          <w:p w14:paraId="40E76178" w14:textId="77777777" w:rsidR="0059462C" w:rsidRPr="00B52432" w:rsidRDefault="0059462C" w:rsidP="0059462C">
            <w:pPr>
              <w:rPr>
                <w:szCs w:val="24"/>
              </w:rPr>
            </w:pPr>
            <w:r w:rsidRPr="00B52432">
              <w:rPr>
                <w:szCs w:val="24"/>
              </w:rPr>
              <w:t xml:space="preserve">FME burde stå for det koordinerede arbejde i forhold til kulturbanker, så alle ansøgninger vurderes og hermed får en fælles tilgang til fjorden gennem erhvervet. </w:t>
            </w:r>
          </w:p>
          <w:p w14:paraId="0792FE48" w14:textId="77777777" w:rsidR="0059462C" w:rsidRPr="00B52432" w:rsidRDefault="0059462C" w:rsidP="0059462C">
            <w:pPr>
              <w:rPr>
                <w:szCs w:val="24"/>
              </w:rPr>
            </w:pPr>
          </w:p>
          <w:p w14:paraId="2D31C0C9" w14:textId="77777777" w:rsidR="0059462C" w:rsidRPr="00B52432" w:rsidRDefault="0059462C" w:rsidP="0059462C">
            <w:pPr>
              <w:rPr>
                <w:szCs w:val="24"/>
              </w:rPr>
            </w:pPr>
            <w:r w:rsidRPr="00B52432">
              <w:rPr>
                <w:szCs w:val="24"/>
              </w:rPr>
              <w:lastRenderedPageBreak/>
              <w:t>Arbejdet omkring selve placeringen af kulturbankeområder skal laves i tæt samarbejde med fiskerierhvervet, så der kan tages de nødvendige hensyn til de aktiviteter, der allerede foregår i fjorden og samtidig sikre, at områderne bliver placeret optimalt, med henblik på at fjorden udnyttes bedst mulig, i forhold til både produktion, fiskeri og naturbeskyttelse.</w:t>
            </w:r>
          </w:p>
          <w:p w14:paraId="68BDB470" w14:textId="77777777" w:rsidR="0059462C" w:rsidRPr="00B52432" w:rsidRDefault="0059462C" w:rsidP="0059462C">
            <w:pPr>
              <w:rPr>
                <w:szCs w:val="24"/>
              </w:rPr>
            </w:pPr>
          </w:p>
          <w:p w14:paraId="50C00939" w14:textId="77777777" w:rsidR="0059462C" w:rsidRPr="00B52432" w:rsidRDefault="0059462C" w:rsidP="0059462C">
            <w:pPr>
              <w:rPr>
                <w:szCs w:val="24"/>
              </w:rPr>
            </w:pPr>
            <w:r w:rsidRPr="00B52432">
              <w:rPr>
                <w:szCs w:val="24"/>
              </w:rPr>
              <w:t>Der skal gælde et aktivitetskrav for de tilladelser der evt. gives, så arealerne ikke bare automatisk ”fredes” når tilladelsen udstedes. Det skal dokumenteres at der er udlagt en betydelig mængde muslinger eller østers inden det i tilladelsen nærmerede definerede kulturbanke område kan spærres for andet fiskeri.</w:t>
            </w:r>
          </w:p>
          <w:p w14:paraId="722EB60E" w14:textId="77777777" w:rsidR="0059462C" w:rsidRPr="00B52432" w:rsidRDefault="0059462C" w:rsidP="0059462C">
            <w:pPr>
              <w:rPr>
                <w:szCs w:val="24"/>
              </w:rPr>
            </w:pPr>
          </w:p>
          <w:p w14:paraId="050B3BF0" w14:textId="77777777" w:rsidR="0059462C" w:rsidRPr="00B52432" w:rsidRDefault="0059462C" w:rsidP="0059462C">
            <w:pPr>
              <w:rPr>
                <w:szCs w:val="24"/>
              </w:rPr>
            </w:pPr>
            <w:r w:rsidRPr="00B52432">
              <w:rPr>
                <w:szCs w:val="24"/>
              </w:rPr>
              <w:t>Fjordbunden i de områder der udlægges til kulturbanker skal undersøges for forekomst af muslinger og østers, inden der udlægges yderligere mængder i områderne.</w:t>
            </w:r>
          </w:p>
          <w:p w14:paraId="1B071B9D" w14:textId="77777777" w:rsidR="0059462C" w:rsidRPr="00B52432" w:rsidRDefault="0059462C" w:rsidP="0059462C">
            <w:pPr>
              <w:rPr>
                <w:szCs w:val="24"/>
              </w:rPr>
            </w:pPr>
          </w:p>
          <w:p w14:paraId="7ABB1D10" w14:textId="77777777" w:rsidR="0059462C" w:rsidRPr="00B52432" w:rsidRDefault="0059462C" w:rsidP="0059462C">
            <w:pPr>
              <w:rPr>
                <w:szCs w:val="24"/>
              </w:rPr>
            </w:pPr>
            <w:r w:rsidRPr="00B52432">
              <w:rPr>
                <w:szCs w:val="24"/>
              </w:rPr>
              <w:t xml:space="preserve">Der skal gælde en grænse for hvor mange kilo der må fiskes i kulturområderne, i forhold til hvilken mængde der er blevet udlagt. Kulturbankerne må ikke kunne anvendes i forhold til at reserverer områder af Limfjorden til fiskeri på arter der ikke er blevet udlagt i områderne. </w:t>
            </w:r>
          </w:p>
          <w:p w14:paraId="7756F681" w14:textId="77777777" w:rsidR="0059462C" w:rsidRPr="00B52432" w:rsidRDefault="0059462C" w:rsidP="0059462C">
            <w:pPr>
              <w:rPr>
                <w:szCs w:val="24"/>
              </w:rPr>
            </w:pPr>
          </w:p>
          <w:p w14:paraId="5E3BB144" w14:textId="77777777" w:rsidR="0059462C" w:rsidRPr="00B52432" w:rsidRDefault="0059462C" w:rsidP="0059462C">
            <w:pPr>
              <w:rPr>
                <w:szCs w:val="24"/>
              </w:rPr>
            </w:pPr>
            <w:r w:rsidRPr="00B52432">
              <w:rPr>
                <w:szCs w:val="24"/>
              </w:rPr>
              <w:t>Det skal kun være muligt at høste de specifikke arter (blåmusling eller østers) der er blevet udlagt på kulturbanken. Hvis der f.eks. forekommer hjertemusling i området, må disse ikke fiskes.</w:t>
            </w:r>
          </w:p>
          <w:p w14:paraId="330C6807" w14:textId="77777777" w:rsidR="0059462C" w:rsidRPr="00B52432" w:rsidRDefault="0059462C" w:rsidP="0059462C">
            <w:pPr>
              <w:rPr>
                <w:szCs w:val="24"/>
              </w:rPr>
            </w:pPr>
          </w:p>
          <w:p w14:paraId="7DFFA4B6" w14:textId="77777777" w:rsidR="0059462C" w:rsidRPr="00B52432" w:rsidRDefault="0059462C" w:rsidP="0059462C">
            <w:pPr>
              <w:rPr>
                <w:szCs w:val="24"/>
              </w:rPr>
            </w:pPr>
            <w:r w:rsidRPr="00B52432">
              <w:rPr>
                <w:szCs w:val="24"/>
              </w:rPr>
              <w:t>Erhvervet er ikke interesseret i kulturbanker i Natura2000 områder eller i umiddelbar nærhed af eksisterende østersbanker. Kulturbanker skal planlægges således at der tages mest muligt hensyn til den vilde bestand af østers og muslinger i fjorden.</w:t>
            </w:r>
          </w:p>
          <w:p w14:paraId="535EE7F5" w14:textId="77777777" w:rsidR="0059462C" w:rsidRPr="00B52432" w:rsidRDefault="0059462C" w:rsidP="0059462C">
            <w:pPr>
              <w:rPr>
                <w:szCs w:val="24"/>
              </w:rPr>
            </w:pPr>
          </w:p>
          <w:p w14:paraId="7AF575FF" w14:textId="77777777" w:rsidR="0059462C" w:rsidRPr="00B52432" w:rsidRDefault="0059462C" w:rsidP="0059462C">
            <w:pPr>
              <w:rPr>
                <w:szCs w:val="24"/>
              </w:rPr>
            </w:pPr>
            <w:r w:rsidRPr="00B52432">
              <w:rPr>
                <w:szCs w:val="24"/>
              </w:rPr>
              <w:t>Fiskeriet er stærkt begrænset af et loft på 15% i forhold til bundpåvirkninger af natura2000 områderne i Limfjorden. Disse 15% skal i alle tilfælde forbeholdes det aktive fiskeri af skaldyr i Limfjorden.</w:t>
            </w:r>
          </w:p>
          <w:p w14:paraId="35BCA93B" w14:textId="77777777" w:rsidR="0059462C" w:rsidRPr="00B52432" w:rsidRDefault="0059462C" w:rsidP="0059462C">
            <w:pPr>
              <w:rPr>
                <w:szCs w:val="24"/>
              </w:rPr>
            </w:pPr>
          </w:p>
          <w:p w14:paraId="21B4FDFF" w14:textId="77777777" w:rsidR="0059462C" w:rsidRPr="00B52432" w:rsidRDefault="0059462C" w:rsidP="0059462C">
            <w:pPr>
              <w:rPr>
                <w:szCs w:val="24"/>
              </w:rPr>
            </w:pPr>
            <w:r w:rsidRPr="00B52432">
              <w:rPr>
                <w:szCs w:val="24"/>
              </w:rPr>
              <w:t xml:space="preserve">Ved kulturbanke dyrkning af skaldyr vil der i Limfjorden opstå et stort behov for muslingeyngel der kan ligges ud i områderne. Dette kræver at der placeres en række smartfarms der vil skulle producere den yngel der skal ligges ud i områderne. Hvor er det planen at disse anlæg skal placeres? I Limfjorden er der de seneste år set en stigende grad modstand mod netop smartfarms, da ingen sommerhusejere syntes det er en god ide at placere dem i deres udsigt over fjorden. Fiskerne er ligeledes bekymret over placeringen, da områder for denne type af anlæg meget ofte overlappe med gode fiskeriområder efter blåmusling og østers.  </w:t>
            </w:r>
          </w:p>
          <w:p w14:paraId="3780F701" w14:textId="77777777" w:rsidR="0059462C" w:rsidRPr="00B52432" w:rsidRDefault="0059462C" w:rsidP="0059462C">
            <w:pPr>
              <w:rPr>
                <w:szCs w:val="24"/>
              </w:rPr>
            </w:pPr>
          </w:p>
          <w:p w14:paraId="6990B342" w14:textId="77777777" w:rsidR="0059462C" w:rsidRPr="00B52432" w:rsidRDefault="0059462C" w:rsidP="0059462C">
            <w:pPr>
              <w:rPr>
                <w:szCs w:val="24"/>
              </w:rPr>
            </w:pPr>
            <w:r w:rsidRPr="00B52432">
              <w:rPr>
                <w:szCs w:val="24"/>
              </w:rPr>
              <w:t xml:space="preserve">Etablering af kulturbanker i Limfjorden der forbeholdes for få personer eller virksomheder er en privatisering af Limfjorden og vil på sigt have en stor betydning for hvordan muslinger og skaldyr i det hele taget kan høsten i Limfjorden. </w:t>
            </w:r>
          </w:p>
          <w:p w14:paraId="6F39D945" w14:textId="171F5396" w:rsidR="0059462C" w:rsidRPr="00B52432" w:rsidRDefault="0059462C" w:rsidP="0059462C">
            <w:pPr>
              <w:rPr>
                <w:szCs w:val="24"/>
              </w:rPr>
            </w:pPr>
          </w:p>
          <w:p w14:paraId="1951144B" w14:textId="77777777" w:rsidR="0059462C" w:rsidRPr="00B52432" w:rsidRDefault="0059462C" w:rsidP="0059462C">
            <w:pPr>
              <w:spacing w:line="276" w:lineRule="auto"/>
              <w:jc w:val="both"/>
              <w:rPr>
                <w:iCs/>
                <w:szCs w:val="24"/>
              </w:rPr>
            </w:pPr>
            <w:r w:rsidRPr="00B52432">
              <w:rPr>
                <w:iCs/>
                <w:szCs w:val="24"/>
              </w:rPr>
              <w:t>Med venlig hilsen</w:t>
            </w:r>
          </w:p>
          <w:p w14:paraId="56844E32" w14:textId="27D67125" w:rsidR="0059462C" w:rsidRPr="00B52432" w:rsidRDefault="0059462C" w:rsidP="0059462C">
            <w:pPr>
              <w:rPr>
                <w:szCs w:val="24"/>
              </w:rPr>
            </w:pPr>
          </w:p>
          <w:p w14:paraId="68BF4F23" w14:textId="5C4B0074" w:rsidR="00B52432" w:rsidRPr="00B52432" w:rsidRDefault="00B52432" w:rsidP="0059462C">
            <w:pPr>
              <w:rPr>
                <w:szCs w:val="24"/>
              </w:rPr>
            </w:pPr>
            <w:r w:rsidRPr="00B52432">
              <w:rPr>
                <w:szCs w:val="24"/>
              </w:rPr>
              <w:t>Henrik S. Lund</w:t>
            </w:r>
          </w:p>
          <w:p w14:paraId="69A69D67" w14:textId="26CC0B36" w:rsidR="00BE5F1A" w:rsidRPr="00F571EF" w:rsidRDefault="00B52432" w:rsidP="00770E5F">
            <w:pPr>
              <w:rPr>
                <w:rFonts w:ascii="Arial" w:hAnsi="Arial" w:cs="Arial"/>
                <w:sz w:val="22"/>
                <w:szCs w:val="22"/>
              </w:rPr>
            </w:pPr>
            <w:r w:rsidRPr="00B52432">
              <w:rPr>
                <w:szCs w:val="24"/>
              </w:rPr>
              <w:t>Biolog</w:t>
            </w:r>
          </w:p>
        </w:tc>
        <w:tc>
          <w:tcPr>
            <w:tcW w:w="585" w:type="dxa"/>
            <w:tcMar>
              <w:left w:w="0" w:type="dxa"/>
              <w:right w:w="0" w:type="dxa"/>
            </w:tcMar>
          </w:tcPr>
          <w:p w14:paraId="37F156AE" w14:textId="77777777" w:rsidR="00BE5F1A" w:rsidRPr="00F571EF" w:rsidRDefault="00BE5F1A" w:rsidP="008D17B2">
            <w:pPr>
              <w:spacing w:after="240" w:line="276" w:lineRule="auto"/>
              <w:rPr>
                <w:rFonts w:ascii="Arial" w:hAnsi="Arial" w:cs="Arial"/>
                <w:color w:val="000000" w:themeColor="text1"/>
                <w:sz w:val="18"/>
                <w:szCs w:val="18"/>
              </w:rPr>
            </w:pPr>
          </w:p>
        </w:tc>
      </w:tr>
    </w:tbl>
    <w:p w14:paraId="7F81443D" w14:textId="77777777" w:rsidR="00E33390" w:rsidRPr="00F571EF" w:rsidRDefault="00991D3E" w:rsidP="008D17B2">
      <w:pPr>
        <w:spacing w:after="240" w:line="276" w:lineRule="auto"/>
        <w:rPr>
          <w:rFonts w:ascii="Arial" w:hAnsi="Arial" w:cs="Arial"/>
          <w:sz w:val="22"/>
          <w:szCs w:val="22"/>
        </w:rPr>
      </w:pPr>
    </w:p>
    <w:p w14:paraId="1D23E2DB" w14:textId="77777777" w:rsidR="00210AE6" w:rsidRPr="00F571EF" w:rsidRDefault="00210AE6" w:rsidP="008D17B2">
      <w:pPr>
        <w:spacing w:after="240" w:line="276" w:lineRule="auto"/>
        <w:rPr>
          <w:rFonts w:ascii="Arial" w:hAnsi="Arial" w:cs="Arial"/>
          <w:sz w:val="22"/>
          <w:szCs w:val="22"/>
        </w:rPr>
      </w:pPr>
    </w:p>
    <w:sectPr w:rsidR="00210AE6" w:rsidRPr="00F571EF" w:rsidSect="00B620B2">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70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48B0" w14:textId="77777777" w:rsidR="00991D3E" w:rsidRDefault="00991D3E">
      <w:r>
        <w:separator/>
      </w:r>
    </w:p>
  </w:endnote>
  <w:endnote w:type="continuationSeparator" w:id="0">
    <w:p w14:paraId="5780EB4F" w14:textId="77777777" w:rsidR="00991D3E" w:rsidRDefault="0099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346F" w14:textId="77777777" w:rsidR="00E33390" w:rsidRDefault="00401E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5EC63E9" w14:textId="77777777" w:rsidR="00E33390" w:rsidRDefault="00991D3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BE62" w14:textId="77777777" w:rsidR="00E33390" w:rsidRPr="005C7B5C" w:rsidRDefault="00401EBE" w:rsidP="00E33390">
    <w:pPr>
      <w:pStyle w:val="Sidefod"/>
      <w:framePr w:wrap="around" w:vAnchor="text" w:hAnchor="margin" w:xAlign="right" w:y="1"/>
      <w:jc w:val="right"/>
      <w:rPr>
        <w:rStyle w:val="Sidetal"/>
        <w:rFonts w:ascii="Arial" w:hAnsi="Arial"/>
      </w:rPr>
    </w:pPr>
    <w:r w:rsidRPr="005C7B5C">
      <w:rPr>
        <w:rStyle w:val="Sidetal"/>
      </w:rPr>
      <w:fldChar w:fldCharType="begin"/>
    </w:r>
    <w:r w:rsidRPr="005C7B5C">
      <w:rPr>
        <w:rStyle w:val="Sidetal"/>
        <w:rFonts w:ascii="Arial" w:hAnsi="Arial"/>
      </w:rPr>
      <w:instrText xml:space="preserve">PAGE  </w:instrText>
    </w:r>
    <w:r w:rsidRPr="005C7B5C">
      <w:rPr>
        <w:rStyle w:val="Sidetal"/>
      </w:rPr>
      <w:fldChar w:fldCharType="separate"/>
    </w:r>
    <w:r w:rsidRPr="005C7B5C">
      <w:rPr>
        <w:rStyle w:val="Sidetal"/>
        <w:rFonts w:ascii="Arial" w:hAnsi="Arial"/>
        <w:noProof/>
      </w:rPr>
      <w:t>2</w:t>
    </w:r>
    <w:r w:rsidRPr="005C7B5C">
      <w:rPr>
        <w:rStyle w:val="Sidetal"/>
      </w:rPr>
      <w:fldChar w:fldCharType="end"/>
    </w:r>
  </w:p>
  <w:p w14:paraId="0E719690" w14:textId="77777777" w:rsidR="00E33390" w:rsidRDefault="00991D3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AAE9" w14:textId="77777777" w:rsidR="00E33390" w:rsidRDefault="00991D3E" w:rsidP="00E33390">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1494" w14:textId="77777777" w:rsidR="00991D3E" w:rsidRDefault="00991D3E">
      <w:r>
        <w:separator/>
      </w:r>
    </w:p>
  </w:footnote>
  <w:footnote w:type="continuationSeparator" w:id="0">
    <w:p w14:paraId="555FF6F3" w14:textId="77777777" w:rsidR="00991D3E" w:rsidRDefault="0099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A489" w14:textId="77777777" w:rsidR="00E33390" w:rsidRDefault="00401EBE">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6CCF0E3" w14:textId="77777777" w:rsidR="00E33390" w:rsidRDefault="00991D3E">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8140" w14:textId="77777777" w:rsidR="00E33390" w:rsidRDefault="00991D3E">
    <w:pPr>
      <w:pStyle w:val="Sidehoved"/>
      <w:framePr w:wrap="around" w:vAnchor="text" w:hAnchor="margin" w:xAlign="right" w:y="1"/>
      <w:rPr>
        <w:rStyle w:val="Sidetal"/>
      </w:rPr>
    </w:pPr>
  </w:p>
  <w:tbl>
    <w:tblPr>
      <w:tblStyle w:val="Tabel-Gitter"/>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8"/>
    </w:tblGrid>
    <w:tr w:rsidR="001776DA" w:rsidRPr="0064758B" w14:paraId="046596D0" w14:textId="77777777">
      <w:tc>
        <w:tcPr>
          <w:tcW w:w="4678" w:type="dxa"/>
        </w:tcPr>
        <w:p w14:paraId="67DC2ADF" w14:textId="77777777" w:rsidR="001776DA" w:rsidRPr="001776DA" w:rsidRDefault="001776DA" w:rsidP="001776DA">
          <w:pPr>
            <w:pStyle w:val="Sidefod"/>
            <w:jc w:val="right"/>
          </w:pPr>
          <w:r>
            <w:rPr>
              <w:noProof/>
            </w:rPr>
            <w:drawing>
              <wp:inline distT="0" distB="0" distL="0" distR="0" wp14:anchorId="195DC330" wp14:editId="3D15C80D">
                <wp:extent cx="1385859" cy="481125"/>
                <wp:effectExtent l="0" t="0" r="0" b="190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tc>
    </w:tr>
  </w:tbl>
  <w:p w14:paraId="48576F52" w14:textId="77777777" w:rsidR="00E33390" w:rsidRPr="0064758B" w:rsidRDefault="00991D3E" w:rsidP="00E33390">
    <w:pPr>
      <w:pStyle w:val="Sidefod"/>
      <w:jc w:val="right"/>
      <w:rPr>
        <w:rFonts w:ascii="Arial" w:hAnsi="Arial"/>
        <w:b/>
        <w:caps/>
        <w:color w:val="333333"/>
        <w:sz w:val="18"/>
      </w:rPr>
    </w:pPr>
  </w:p>
  <w:p w14:paraId="5D567ABF" w14:textId="77777777" w:rsidR="00E33390" w:rsidRPr="0064758B" w:rsidRDefault="00991D3E" w:rsidP="001776DA">
    <w:pPr>
      <w:pStyle w:val="Sidefod"/>
      <w:rPr>
        <w:rFonts w:ascii="Arial" w:hAnsi="Arial"/>
        <w:b/>
        <w:caps/>
        <w:color w:val="333333"/>
        <w:sz w:val="18"/>
      </w:rPr>
    </w:pPr>
  </w:p>
  <w:p w14:paraId="59AFE90C" w14:textId="77777777" w:rsidR="00E33390" w:rsidRPr="0064758B" w:rsidRDefault="00991D3E" w:rsidP="00E33390">
    <w:pPr>
      <w:pStyle w:val="Sidefod"/>
      <w:jc w:val="right"/>
      <w:rPr>
        <w:rFonts w:ascii="Arial" w:hAnsi="Arial"/>
        <w:b/>
        <w:caps/>
        <w:color w:val="333333"/>
        <w:sz w:val="18"/>
      </w:rPr>
    </w:pPr>
  </w:p>
  <w:p w14:paraId="4C8C4E45" w14:textId="77777777" w:rsidR="00E33390" w:rsidRPr="0064758B" w:rsidRDefault="00991D3E" w:rsidP="00E33390">
    <w:pPr>
      <w:pStyle w:val="Sidefod"/>
      <w:jc w:val="right"/>
      <w:rPr>
        <w:rFonts w:ascii="Arial" w:hAnsi="Arial"/>
        <w:b/>
        <w:caps/>
        <w:color w:val="333333"/>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E536" w14:textId="77777777" w:rsidR="00E33390" w:rsidRDefault="00991D3E"/>
  <w:tbl>
    <w:tblPr>
      <w:tblStyle w:val="Tabel-Gitter"/>
      <w:tblW w:w="5002"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02"/>
    </w:tblGrid>
    <w:tr w:rsidR="00AE3F56" w:rsidRPr="00AC6944" w14:paraId="614A810E" w14:textId="77777777">
      <w:trPr>
        <w:trHeight w:val="3103"/>
      </w:trPr>
      <w:tc>
        <w:tcPr>
          <w:tcW w:w="5002" w:type="dxa"/>
        </w:tcPr>
        <w:p w14:paraId="15EA1413" w14:textId="77777777" w:rsidR="00E33390" w:rsidRPr="00CB28D5" w:rsidRDefault="00B56072" w:rsidP="00E33390">
          <w:pPr>
            <w:pStyle w:val="Sidefod"/>
            <w:jc w:val="right"/>
          </w:pPr>
          <w:r>
            <w:rPr>
              <w:noProof/>
            </w:rPr>
            <w:drawing>
              <wp:inline distT="0" distB="0" distL="0" distR="0" wp14:anchorId="07A87CBC" wp14:editId="65C5DBE3">
                <wp:extent cx="1385859" cy="481125"/>
                <wp:effectExtent l="0" t="0" r="0" b="1905"/>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8-06 kl. 13.53.54.png"/>
                        <pic:cNvPicPr/>
                      </pic:nvPicPr>
                      <pic:blipFill>
                        <a:blip r:embed="rId1"/>
                        <a:stretch>
                          <a:fillRect/>
                        </a:stretch>
                      </pic:blipFill>
                      <pic:spPr>
                        <a:xfrm>
                          <a:off x="0" y="0"/>
                          <a:ext cx="1501163" cy="521155"/>
                        </a:xfrm>
                        <a:prstGeom prst="rect">
                          <a:avLst/>
                        </a:prstGeom>
                      </pic:spPr>
                    </pic:pic>
                  </a:graphicData>
                </a:graphic>
              </wp:inline>
            </w:drawing>
          </w:r>
        </w:p>
        <w:p w14:paraId="5010CD01" w14:textId="77777777" w:rsidR="00E33390" w:rsidRDefault="00991D3E" w:rsidP="00E33390">
          <w:pPr>
            <w:pStyle w:val="Sidefod"/>
            <w:jc w:val="right"/>
            <w:rPr>
              <w:rFonts w:ascii="Arial" w:hAnsi="Arial"/>
              <w:color w:val="333333"/>
              <w:sz w:val="16"/>
            </w:rPr>
          </w:pPr>
        </w:p>
        <w:tbl>
          <w:tblPr>
            <w:tblStyle w:val="Tabel-Gitter"/>
            <w:tblW w:w="2155" w:type="dxa"/>
            <w:jc w:val="right"/>
            <w:tblBorders>
              <w:top w:val="single" w:sz="18" w:space="0" w:color="003968"/>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2155"/>
          </w:tblGrid>
          <w:tr w:rsidR="00053B12" w14:paraId="6C3F9948" w14:textId="77777777" w:rsidTr="001C7DD7">
            <w:trPr>
              <w:jc w:val="right"/>
            </w:trPr>
            <w:tc>
              <w:tcPr>
                <w:tcW w:w="1984" w:type="dxa"/>
                <w:tcMar>
                  <w:top w:w="113" w:type="dxa"/>
                </w:tcMar>
              </w:tcPr>
              <w:p w14:paraId="2F9590BB" w14:textId="77777777" w:rsidR="001C7DD7" w:rsidRDefault="001C7DD7" w:rsidP="00AD5EEC">
                <w:pPr>
                  <w:pStyle w:val="Sidefod"/>
                  <w:rPr>
                    <w:rFonts w:ascii="Arial" w:hAnsi="Arial"/>
                    <w:color w:val="003968"/>
                    <w:sz w:val="16"/>
                  </w:rPr>
                </w:pPr>
              </w:p>
              <w:p w14:paraId="17DE28F5" w14:textId="77777777" w:rsidR="00053B12" w:rsidRPr="00786F41" w:rsidRDefault="00053B12" w:rsidP="00AD5EEC">
                <w:pPr>
                  <w:pStyle w:val="Sidefod"/>
                  <w:rPr>
                    <w:rFonts w:ascii="Arial" w:hAnsi="Arial"/>
                    <w:color w:val="003968"/>
                    <w:sz w:val="16"/>
                  </w:rPr>
                </w:pPr>
                <w:proofErr w:type="spellStart"/>
                <w:r w:rsidRPr="00786F41">
                  <w:rPr>
                    <w:rFonts w:ascii="Arial" w:hAnsi="Arial"/>
                    <w:color w:val="003968"/>
                    <w:sz w:val="16"/>
                  </w:rPr>
                  <w:t>Nordensvej</w:t>
                </w:r>
                <w:proofErr w:type="spellEnd"/>
                <w:r w:rsidRPr="00786F41">
                  <w:rPr>
                    <w:rFonts w:ascii="Arial" w:hAnsi="Arial"/>
                    <w:color w:val="003968"/>
                    <w:sz w:val="16"/>
                  </w:rPr>
                  <w:t xml:space="preserve"> 3, Taulov</w:t>
                </w:r>
              </w:p>
              <w:p w14:paraId="40D5FC5F"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DK - 7000 Fredericia</w:t>
                </w:r>
              </w:p>
            </w:tc>
          </w:tr>
          <w:tr w:rsidR="00053B12" w14:paraId="2360AEB2" w14:textId="77777777" w:rsidTr="001C7DD7">
            <w:trPr>
              <w:jc w:val="right"/>
            </w:trPr>
            <w:tc>
              <w:tcPr>
                <w:tcW w:w="1984" w:type="dxa"/>
                <w:tcMar>
                  <w:top w:w="113" w:type="dxa"/>
                </w:tcMar>
              </w:tcPr>
              <w:p w14:paraId="5EE85804" w14:textId="77777777" w:rsidR="00053B12" w:rsidRPr="00786F41" w:rsidRDefault="00053B12" w:rsidP="00AD5EEC">
                <w:pPr>
                  <w:pStyle w:val="Sidefod"/>
                  <w:tabs>
                    <w:tab w:val="left" w:pos="8440"/>
                  </w:tabs>
                  <w:rPr>
                    <w:rFonts w:ascii="Arial" w:hAnsi="Arial"/>
                    <w:color w:val="003968"/>
                    <w:sz w:val="16"/>
                  </w:rPr>
                </w:pPr>
                <w:r w:rsidRPr="00786F41">
                  <w:rPr>
                    <w:rFonts w:ascii="Arial" w:hAnsi="Arial"/>
                    <w:color w:val="003968"/>
                    <w:sz w:val="16"/>
                  </w:rPr>
                  <w:t>Axeltorv 3, Axelborg</w:t>
                </w:r>
              </w:p>
              <w:p w14:paraId="12856AD8" w14:textId="77777777" w:rsidR="00053B12" w:rsidRPr="00786F41" w:rsidRDefault="00053B12" w:rsidP="00AD5EEC">
                <w:pPr>
                  <w:pStyle w:val="Sidefod"/>
                  <w:rPr>
                    <w:rFonts w:ascii="Arial" w:hAnsi="Arial"/>
                    <w:color w:val="003968"/>
                    <w:sz w:val="16"/>
                  </w:rPr>
                </w:pPr>
                <w:r w:rsidRPr="00786F41">
                  <w:rPr>
                    <w:rFonts w:ascii="Arial" w:hAnsi="Arial"/>
                    <w:color w:val="003968"/>
                    <w:sz w:val="16"/>
                  </w:rPr>
                  <w:t>DK - 1609 København V</w:t>
                </w:r>
              </w:p>
            </w:tc>
          </w:tr>
          <w:tr w:rsidR="00053B12" w14:paraId="5C8707B7" w14:textId="77777777" w:rsidTr="001C7DD7">
            <w:trPr>
              <w:jc w:val="right"/>
            </w:trPr>
            <w:tc>
              <w:tcPr>
                <w:tcW w:w="1984" w:type="dxa"/>
                <w:tcMar>
                  <w:top w:w="113" w:type="dxa"/>
                </w:tcMar>
              </w:tcPr>
              <w:p w14:paraId="4F1AAE6A" w14:textId="77777777" w:rsidR="00053B12" w:rsidRPr="00786F41" w:rsidRDefault="00053B12" w:rsidP="00AD5EEC">
                <w:pPr>
                  <w:pStyle w:val="Sidefod"/>
                  <w:rPr>
                    <w:rFonts w:ascii="Arial" w:hAnsi="Arial"/>
                    <w:color w:val="003968"/>
                    <w:sz w:val="16"/>
                    <w:lang w:val="en-US"/>
                  </w:rPr>
                </w:pPr>
                <w:proofErr w:type="spellStart"/>
                <w:r w:rsidRPr="00786F41">
                  <w:rPr>
                    <w:rFonts w:ascii="Arial" w:hAnsi="Arial"/>
                    <w:color w:val="003968"/>
                    <w:sz w:val="16"/>
                    <w:lang w:val="en-US"/>
                  </w:rPr>
                  <w:t>Tlf</w:t>
                </w:r>
                <w:proofErr w:type="spellEnd"/>
                <w:r w:rsidRPr="00786F41">
                  <w:rPr>
                    <w:rFonts w:ascii="Arial" w:hAnsi="Arial"/>
                    <w:color w:val="003968"/>
                    <w:sz w:val="16"/>
                    <w:lang w:val="en-US"/>
                  </w:rPr>
                  <w:t xml:space="preserve">. +45 70 10 40 40 </w:t>
                </w:r>
              </w:p>
              <w:p w14:paraId="4DA20AD9" w14:textId="77777777" w:rsidR="00053B12" w:rsidRPr="00786F41" w:rsidRDefault="00053B12" w:rsidP="00AD5EEC">
                <w:pPr>
                  <w:pStyle w:val="Sidefod"/>
                  <w:rPr>
                    <w:rFonts w:ascii="Arial" w:hAnsi="Arial"/>
                    <w:color w:val="003968"/>
                    <w:sz w:val="16"/>
                  </w:rPr>
                </w:pPr>
                <w:r w:rsidRPr="00786F41">
                  <w:rPr>
                    <w:rFonts w:ascii="Arial" w:hAnsi="Arial"/>
                    <w:color w:val="003968"/>
                    <w:sz w:val="16"/>
                    <w:lang w:val="en-US"/>
                  </w:rPr>
                  <w:t>Fax. +45 75 45 19 28</w:t>
                </w:r>
              </w:p>
            </w:tc>
          </w:tr>
          <w:tr w:rsidR="00053B12" w14:paraId="71201204" w14:textId="77777777" w:rsidTr="001C7DD7">
            <w:trPr>
              <w:jc w:val="right"/>
            </w:trPr>
            <w:tc>
              <w:tcPr>
                <w:tcW w:w="1984" w:type="dxa"/>
                <w:tcMar>
                  <w:top w:w="113" w:type="dxa"/>
                </w:tcMar>
              </w:tcPr>
              <w:p w14:paraId="433FCC00" w14:textId="77777777" w:rsidR="00053B12" w:rsidRPr="00242028" w:rsidRDefault="00053B12" w:rsidP="00AD5EEC">
                <w:pPr>
                  <w:pStyle w:val="Sidefod"/>
                  <w:rPr>
                    <w:rFonts w:ascii="Arial" w:hAnsi="Arial"/>
                    <w:color w:val="003968"/>
                    <w:sz w:val="16"/>
                  </w:rPr>
                </w:pPr>
                <w:r w:rsidRPr="00242028">
                  <w:rPr>
                    <w:rFonts w:ascii="Arial" w:hAnsi="Arial"/>
                    <w:color w:val="003968"/>
                    <w:sz w:val="16"/>
                  </w:rPr>
                  <w:t>mail@dkfisk.dk</w:t>
                </w:r>
              </w:p>
              <w:p w14:paraId="0181F1A6" w14:textId="77777777" w:rsidR="00053B12" w:rsidRPr="00786F41" w:rsidRDefault="00053B12" w:rsidP="00AD5EEC">
                <w:pPr>
                  <w:pStyle w:val="Sidefod"/>
                  <w:rPr>
                    <w:rFonts w:ascii="Arial" w:hAnsi="Arial"/>
                    <w:color w:val="003968"/>
                    <w:sz w:val="16"/>
                  </w:rPr>
                </w:pPr>
                <w:r w:rsidRPr="00B455AF">
                  <w:rPr>
                    <w:rFonts w:ascii="Arial" w:hAnsi="Arial"/>
                    <w:color w:val="003968"/>
                    <w:sz w:val="16"/>
                  </w:rPr>
                  <w:t>www.dkfisk.dk</w:t>
                </w:r>
              </w:p>
            </w:tc>
          </w:tr>
        </w:tbl>
        <w:p w14:paraId="766023CE" w14:textId="77777777" w:rsidR="00BB44A0" w:rsidRPr="00BE5F1A" w:rsidRDefault="00BB44A0" w:rsidP="00BD591B">
          <w:pPr>
            <w:pStyle w:val="Sidefod"/>
            <w:rPr>
              <w:rFonts w:ascii="Arial" w:hAnsi="Arial"/>
              <w:color w:val="808080"/>
              <w:sz w:val="18"/>
            </w:rPr>
          </w:pPr>
        </w:p>
      </w:tc>
    </w:tr>
  </w:tbl>
  <w:p w14:paraId="0245F398" w14:textId="77777777" w:rsidR="00E33390" w:rsidRPr="00BE5F1A" w:rsidRDefault="00991D3E" w:rsidP="00A760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7758"/>
    <w:multiLevelType w:val="hybridMultilevel"/>
    <w:tmpl w:val="64C2E7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89A4AC5"/>
    <w:multiLevelType w:val="hybridMultilevel"/>
    <w:tmpl w:val="71A431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2634EF1"/>
    <w:multiLevelType w:val="hybridMultilevel"/>
    <w:tmpl w:val="77D0FF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5E97B4C"/>
    <w:multiLevelType w:val="hybridMultilevel"/>
    <w:tmpl w:val="BDCCECE2"/>
    <w:lvl w:ilvl="0" w:tplc="2D56C700">
      <w:start w:val="7"/>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2B779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082195"/>
    <w:multiLevelType w:val="multilevel"/>
    <w:tmpl w:val="AAD8A68C"/>
    <w:lvl w:ilvl="0">
      <w:start w:val="1"/>
      <w:numFmt w:val="decimal"/>
      <w:pStyle w:val="Brevbrdpktt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F716818"/>
    <w:multiLevelType w:val="hybridMultilevel"/>
    <w:tmpl w:val="47B67396"/>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6"/>
    <w:rsid w:val="000136C3"/>
    <w:rsid w:val="00052AE6"/>
    <w:rsid w:val="00053B12"/>
    <w:rsid w:val="00053B64"/>
    <w:rsid w:val="00065EB0"/>
    <w:rsid w:val="00084B9B"/>
    <w:rsid w:val="000C6A82"/>
    <w:rsid w:val="000D42B0"/>
    <w:rsid w:val="001776DA"/>
    <w:rsid w:val="001A39C2"/>
    <w:rsid w:val="001C7DD7"/>
    <w:rsid w:val="001D08E4"/>
    <w:rsid w:val="001F1255"/>
    <w:rsid w:val="001F5A38"/>
    <w:rsid w:val="00210AE6"/>
    <w:rsid w:val="00227474"/>
    <w:rsid w:val="00242028"/>
    <w:rsid w:val="00252959"/>
    <w:rsid w:val="00267C89"/>
    <w:rsid w:val="00296989"/>
    <w:rsid w:val="002A2CE1"/>
    <w:rsid w:val="002C120F"/>
    <w:rsid w:val="002E3BB2"/>
    <w:rsid w:val="00301BF8"/>
    <w:rsid w:val="003569AB"/>
    <w:rsid w:val="003C2677"/>
    <w:rsid w:val="003C72F1"/>
    <w:rsid w:val="004007F4"/>
    <w:rsid w:val="00401EBE"/>
    <w:rsid w:val="004104DD"/>
    <w:rsid w:val="00416DE8"/>
    <w:rsid w:val="00420C16"/>
    <w:rsid w:val="00427B56"/>
    <w:rsid w:val="004323A7"/>
    <w:rsid w:val="00442489"/>
    <w:rsid w:val="00457D91"/>
    <w:rsid w:val="004749E3"/>
    <w:rsid w:val="004901F9"/>
    <w:rsid w:val="00497D6E"/>
    <w:rsid w:val="004B5111"/>
    <w:rsid w:val="004C10A8"/>
    <w:rsid w:val="004C3967"/>
    <w:rsid w:val="004D78F8"/>
    <w:rsid w:val="004F2300"/>
    <w:rsid w:val="005549D6"/>
    <w:rsid w:val="00555EF1"/>
    <w:rsid w:val="00576574"/>
    <w:rsid w:val="005829DF"/>
    <w:rsid w:val="0059462C"/>
    <w:rsid w:val="005B418A"/>
    <w:rsid w:val="005B5BBA"/>
    <w:rsid w:val="005C023F"/>
    <w:rsid w:val="005E635C"/>
    <w:rsid w:val="005F3468"/>
    <w:rsid w:val="005F4F4C"/>
    <w:rsid w:val="006321C9"/>
    <w:rsid w:val="0065084B"/>
    <w:rsid w:val="0065241F"/>
    <w:rsid w:val="006762A3"/>
    <w:rsid w:val="00681863"/>
    <w:rsid w:val="006819D1"/>
    <w:rsid w:val="00685D99"/>
    <w:rsid w:val="006E702E"/>
    <w:rsid w:val="006F5666"/>
    <w:rsid w:val="00704D17"/>
    <w:rsid w:val="0072100D"/>
    <w:rsid w:val="0072600A"/>
    <w:rsid w:val="00736953"/>
    <w:rsid w:val="007408AF"/>
    <w:rsid w:val="0075078B"/>
    <w:rsid w:val="00770C58"/>
    <w:rsid w:val="00770E5F"/>
    <w:rsid w:val="00786F41"/>
    <w:rsid w:val="007C6772"/>
    <w:rsid w:val="007D0003"/>
    <w:rsid w:val="007E1623"/>
    <w:rsid w:val="00802A06"/>
    <w:rsid w:val="00816210"/>
    <w:rsid w:val="00816F2D"/>
    <w:rsid w:val="00823886"/>
    <w:rsid w:val="00830E4D"/>
    <w:rsid w:val="00833CDC"/>
    <w:rsid w:val="0087438D"/>
    <w:rsid w:val="00882A95"/>
    <w:rsid w:val="008858C9"/>
    <w:rsid w:val="00895F8B"/>
    <w:rsid w:val="008A2CFC"/>
    <w:rsid w:val="008A754E"/>
    <w:rsid w:val="008D17B2"/>
    <w:rsid w:val="00921FB6"/>
    <w:rsid w:val="009340BE"/>
    <w:rsid w:val="009426BD"/>
    <w:rsid w:val="00942CBF"/>
    <w:rsid w:val="00956EF6"/>
    <w:rsid w:val="0097544F"/>
    <w:rsid w:val="00980AD1"/>
    <w:rsid w:val="009902D6"/>
    <w:rsid w:val="00991D3E"/>
    <w:rsid w:val="00994757"/>
    <w:rsid w:val="009C4A5A"/>
    <w:rsid w:val="009E6FBE"/>
    <w:rsid w:val="009F06EE"/>
    <w:rsid w:val="00A01573"/>
    <w:rsid w:val="00A14ED7"/>
    <w:rsid w:val="00A4203A"/>
    <w:rsid w:val="00A75FCA"/>
    <w:rsid w:val="00A76079"/>
    <w:rsid w:val="00A91CA0"/>
    <w:rsid w:val="00AA241A"/>
    <w:rsid w:val="00AC5B11"/>
    <w:rsid w:val="00AC6944"/>
    <w:rsid w:val="00AD5EEC"/>
    <w:rsid w:val="00AE3F56"/>
    <w:rsid w:val="00AE47EA"/>
    <w:rsid w:val="00B455AF"/>
    <w:rsid w:val="00B52432"/>
    <w:rsid w:val="00B56072"/>
    <w:rsid w:val="00B6125B"/>
    <w:rsid w:val="00B620B2"/>
    <w:rsid w:val="00B76206"/>
    <w:rsid w:val="00B83864"/>
    <w:rsid w:val="00B84D65"/>
    <w:rsid w:val="00B86380"/>
    <w:rsid w:val="00B93D68"/>
    <w:rsid w:val="00BB44A0"/>
    <w:rsid w:val="00BC0779"/>
    <w:rsid w:val="00BC0BB6"/>
    <w:rsid w:val="00BD591B"/>
    <w:rsid w:val="00BE4EF8"/>
    <w:rsid w:val="00BE5F1A"/>
    <w:rsid w:val="00C54457"/>
    <w:rsid w:val="00C66AD3"/>
    <w:rsid w:val="00C825F4"/>
    <w:rsid w:val="00C93FF8"/>
    <w:rsid w:val="00CA4263"/>
    <w:rsid w:val="00CA45BA"/>
    <w:rsid w:val="00CB563D"/>
    <w:rsid w:val="00CC0A65"/>
    <w:rsid w:val="00CC6967"/>
    <w:rsid w:val="00D6246C"/>
    <w:rsid w:val="00D67405"/>
    <w:rsid w:val="00D85E92"/>
    <w:rsid w:val="00D93A72"/>
    <w:rsid w:val="00DA5B4A"/>
    <w:rsid w:val="00DB6778"/>
    <w:rsid w:val="00DC75FC"/>
    <w:rsid w:val="00E456F9"/>
    <w:rsid w:val="00E7750B"/>
    <w:rsid w:val="00E77ECD"/>
    <w:rsid w:val="00EA1231"/>
    <w:rsid w:val="00EA3CC6"/>
    <w:rsid w:val="00EB0E95"/>
    <w:rsid w:val="00EB768D"/>
    <w:rsid w:val="00EC6B83"/>
    <w:rsid w:val="00ED1866"/>
    <w:rsid w:val="00ED7449"/>
    <w:rsid w:val="00EF4371"/>
    <w:rsid w:val="00F004B8"/>
    <w:rsid w:val="00F16C8A"/>
    <w:rsid w:val="00F52008"/>
    <w:rsid w:val="00F5410D"/>
    <w:rsid w:val="00F5634A"/>
    <w:rsid w:val="00F571EF"/>
    <w:rsid w:val="00F70A64"/>
    <w:rsid w:val="00FA1217"/>
    <w:rsid w:val="00FA25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B62883"/>
  <w15:docId w15:val="{1CB63281-73B8-3243-825F-E9985497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Overskrift1">
    <w:name w:val="heading 1"/>
    <w:basedOn w:val="Normal"/>
    <w:next w:val="Normal"/>
    <w:link w:val="Overskrift1Tegn"/>
    <w:qFormat/>
    <w:pPr>
      <w:keepNext/>
      <w:outlineLvl w:val="0"/>
    </w:pPr>
    <w:rPr>
      <w:rFonts w:ascii="Arial" w:hAnsi="Arial"/>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rPr>
      <w:sz w:val="20"/>
    </w:rPr>
  </w:style>
  <w:style w:type="character" w:styleId="Sidetal">
    <w:name w:val="page number"/>
    <w:basedOn w:val="Standardskrifttypeiafsnit"/>
  </w:style>
  <w:style w:type="paragraph" w:styleId="Sidefod">
    <w:name w:val="footer"/>
    <w:basedOn w:val="Normal"/>
    <w:pPr>
      <w:tabs>
        <w:tab w:val="center" w:pos="4819"/>
        <w:tab w:val="right" w:pos="9638"/>
      </w:tabs>
    </w:pPr>
    <w:rPr>
      <w:sz w:val="20"/>
    </w:rPr>
  </w:style>
  <w:style w:type="paragraph" w:customStyle="1" w:styleId="Brevbrd">
    <w:name w:val="Brev brød"/>
    <w:basedOn w:val="Normal"/>
    <w:autoRedefine/>
    <w:pPr>
      <w:widowControl w:val="0"/>
      <w:tabs>
        <w:tab w:val="left" w:pos="0"/>
        <w:tab w:val="left" w:pos="1152"/>
        <w:tab w:val="left" w:pos="1440"/>
        <w:tab w:val="decimal" w:pos="6768"/>
        <w:tab w:val="right" w:pos="9072"/>
      </w:tabs>
      <w:spacing w:before="120"/>
      <w:jc w:val="both"/>
    </w:pPr>
    <w:rPr>
      <w:snapToGrid w:val="0"/>
      <w:kern w:val="18"/>
    </w:rPr>
  </w:style>
  <w:style w:type="paragraph" w:customStyle="1" w:styleId="Brevbrdfed">
    <w:name w:val="Brev brød fed"/>
    <w:basedOn w:val="Brevbrd"/>
    <w:next w:val="Brevbrd"/>
    <w:autoRedefine/>
    <w:rPr>
      <w:b/>
    </w:rPr>
  </w:style>
  <w:style w:type="paragraph" w:customStyle="1" w:styleId="Brevbrdliste">
    <w:name w:val="Brev brød liste"/>
    <w:basedOn w:val="Brevbrd"/>
    <w:autoRedefine/>
    <w:pPr>
      <w:tabs>
        <w:tab w:val="clear" w:pos="1152"/>
        <w:tab w:val="clear" w:pos="1440"/>
        <w:tab w:val="clear" w:pos="6768"/>
        <w:tab w:val="clear" w:pos="9072"/>
        <w:tab w:val="left" w:pos="3119"/>
        <w:tab w:val="left" w:pos="6521"/>
        <w:tab w:val="right" w:pos="9639"/>
      </w:tabs>
      <w:spacing w:before="0"/>
    </w:pPr>
  </w:style>
  <w:style w:type="paragraph" w:customStyle="1" w:styleId="Brevbrdpkttal">
    <w:name w:val="Brev brød pkt tal"/>
    <w:basedOn w:val="Normal"/>
    <w:autoRedefine/>
    <w:pPr>
      <w:numPr>
        <w:numId w:val="2"/>
      </w:numPr>
      <w:spacing w:before="120"/>
    </w:pPr>
  </w:style>
  <w:style w:type="character" w:styleId="Hyperlink">
    <w:name w:val="Hyperlink"/>
    <w:basedOn w:val="Standardskrifttypeiafsnit"/>
    <w:rsid w:val="00C66AD3"/>
    <w:rPr>
      <w:color w:val="003968"/>
      <w:u w:val="none"/>
    </w:rPr>
  </w:style>
  <w:style w:type="character" w:styleId="BesgtLink">
    <w:name w:val="FollowedHyperlink"/>
    <w:basedOn w:val="Standardskrifttypeiafsnit"/>
    <w:rsid w:val="00597CD8"/>
    <w:rPr>
      <w:color w:val="800080"/>
      <w:u w:val="single"/>
    </w:rPr>
  </w:style>
  <w:style w:type="table" w:styleId="Tabel-Gitter">
    <w:name w:val="Table Grid"/>
    <w:basedOn w:val="Tabel-Normal"/>
    <w:rsid w:val="005A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56112E"/>
    <w:pPr>
      <w:spacing w:before="120" w:after="120"/>
    </w:pPr>
    <w:rPr>
      <w:b/>
    </w:rPr>
  </w:style>
  <w:style w:type="paragraph" w:styleId="Markeringsbobletekst">
    <w:name w:val="Balloon Text"/>
    <w:basedOn w:val="Normal"/>
    <w:link w:val="MarkeringsbobletekstTegn"/>
    <w:uiPriority w:val="99"/>
    <w:semiHidden/>
    <w:unhideWhenUsed/>
    <w:rsid w:val="00401E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1EBE"/>
    <w:rPr>
      <w:rFonts w:ascii="Tahoma" w:hAnsi="Tahoma" w:cs="Tahoma"/>
      <w:sz w:val="16"/>
      <w:szCs w:val="16"/>
    </w:rPr>
  </w:style>
  <w:style w:type="character" w:styleId="Ulstomtale">
    <w:name w:val="Unresolved Mention"/>
    <w:basedOn w:val="Standardskrifttypeiafsnit"/>
    <w:uiPriority w:val="99"/>
    <w:semiHidden/>
    <w:unhideWhenUsed/>
    <w:rsid w:val="00BB44A0"/>
    <w:rPr>
      <w:color w:val="808080"/>
      <w:shd w:val="clear" w:color="auto" w:fill="E6E6E6"/>
    </w:rPr>
  </w:style>
  <w:style w:type="paragraph" w:styleId="Listeafsnit">
    <w:name w:val="List Paragraph"/>
    <w:basedOn w:val="Normal"/>
    <w:link w:val="ListeafsnitTegn"/>
    <w:uiPriority w:val="34"/>
    <w:qFormat/>
    <w:rsid w:val="000136C3"/>
    <w:pPr>
      <w:ind w:left="720"/>
      <w:contextualSpacing/>
    </w:pPr>
  </w:style>
  <w:style w:type="paragraph" w:styleId="Fodnotetekst">
    <w:name w:val="footnote text"/>
    <w:aliases w:val="Tegn, Tegn"/>
    <w:basedOn w:val="Normal"/>
    <w:link w:val="FodnotetekstTegn"/>
    <w:uiPriority w:val="99"/>
    <w:unhideWhenUsed/>
    <w:rsid w:val="00EB0E95"/>
    <w:rPr>
      <w:rFonts w:ascii="Verdana" w:eastAsia="SimSun" w:hAnsi="Verdana"/>
      <w:sz w:val="20"/>
    </w:rPr>
  </w:style>
  <w:style w:type="character" w:customStyle="1" w:styleId="FodnotetekstTegn">
    <w:name w:val="Fodnotetekst Tegn"/>
    <w:aliases w:val="Tegn Tegn, Tegn Tegn"/>
    <w:basedOn w:val="Standardskrifttypeiafsnit"/>
    <w:link w:val="Fodnotetekst"/>
    <w:uiPriority w:val="99"/>
    <w:rsid w:val="00EB0E95"/>
    <w:rPr>
      <w:rFonts w:ascii="Verdana" w:eastAsia="SimSun" w:hAnsi="Verdana"/>
    </w:rPr>
  </w:style>
  <w:style w:type="character" w:styleId="Fodnotehenvisning">
    <w:name w:val="footnote reference"/>
    <w:aliases w:val="stylish"/>
    <w:uiPriority w:val="99"/>
    <w:unhideWhenUsed/>
    <w:rsid w:val="00EB0E95"/>
    <w:rPr>
      <w:vertAlign w:val="superscript"/>
    </w:rPr>
  </w:style>
  <w:style w:type="character" w:customStyle="1" w:styleId="ListeafsnitTegn">
    <w:name w:val="Listeafsnit Tegn"/>
    <w:link w:val="Listeafsnit"/>
    <w:uiPriority w:val="34"/>
    <w:locked/>
    <w:rsid w:val="00EB0E95"/>
    <w:rPr>
      <w:sz w:val="24"/>
    </w:rPr>
  </w:style>
  <w:style w:type="character" w:styleId="Kommentarhenvisning">
    <w:name w:val="annotation reference"/>
    <w:basedOn w:val="Standardskrifttypeiafsnit"/>
    <w:uiPriority w:val="99"/>
    <w:semiHidden/>
    <w:unhideWhenUsed/>
    <w:rsid w:val="00D6246C"/>
    <w:rPr>
      <w:sz w:val="16"/>
      <w:szCs w:val="16"/>
    </w:rPr>
  </w:style>
  <w:style w:type="paragraph" w:styleId="Kommentartekst">
    <w:name w:val="annotation text"/>
    <w:basedOn w:val="Normal"/>
    <w:link w:val="KommentartekstTegn"/>
    <w:uiPriority w:val="99"/>
    <w:semiHidden/>
    <w:unhideWhenUsed/>
    <w:rsid w:val="00D6246C"/>
    <w:rPr>
      <w:sz w:val="20"/>
    </w:rPr>
  </w:style>
  <w:style w:type="character" w:customStyle="1" w:styleId="KommentartekstTegn">
    <w:name w:val="Kommentartekst Tegn"/>
    <w:basedOn w:val="Standardskrifttypeiafsnit"/>
    <w:link w:val="Kommentartekst"/>
    <w:uiPriority w:val="99"/>
    <w:semiHidden/>
    <w:rsid w:val="00D6246C"/>
  </w:style>
  <w:style w:type="paragraph" w:styleId="Kommentaremne">
    <w:name w:val="annotation subject"/>
    <w:basedOn w:val="Kommentartekst"/>
    <w:next w:val="Kommentartekst"/>
    <w:link w:val="KommentaremneTegn"/>
    <w:uiPriority w:val="99"/>
    <w:semiHidden/>
    <w:unhideWhenUsed/>
    <w:rsid w:val="00D6246C"/>
    <w:rPr>
      <w:b/>
      <w:bCs/>
    </w:rPr>
  </w:style>
  <w:style w:type="character" w:customStyle="1" w:styleId="KommentaremneTegn">
    <w:name w:val="Kommentaremne Tegn"/>
    <w:basedOn w:val="KommentartekstTegn"/>
    <w:link w:val="Kommentaremne"/>
    <w:uiPriority w:val="99"/>
    <w:semiHidden/>
    <w:rsid w:val="00D6246C"/>
    <w:rPr>
      <w:b/>
      <w:bCs/>
    </w:rPr>
  </w:style>
  <w:style w:type="paragraph" w:customStyle="1" w:styleId="Default">
    <w:name w:val="Default"/>
    <w:rsid w:val="0059462C"/>
    <w:pPr>
      <w:autoSpaceDE w:val="0"/>
      <w:autoSpaceDN w:val="0"/>
      <w:adjustRightInd w:val="0"/>
    </w:pPr>
    <w:rPr>
      <w:rFonts w:ascii="Georgia" w:hAnsi="Georgia" w:cs="Georgia"/>
      <w:color w:val="000000"/>
      <w:sz w:val="24"/>
      <w:szCs w:val="24"/>
    </w:rPr>
  </w:style>
  <w:style w:type="character" w:customStyle="1" w:styleId="Overskrift1Tegn">
    <w:name w:val="Overskrift 1 Tegn"/>
    <w:basedOn w:val="Standardskrifttypeiafsnit"/>
    <w:link w:val="Overskrift1"/>
    <w:rsid w:val="0059462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9278">
      <w:bodyDiv w:val="1"/>
      <w:marLeft w:val="0"/>
      <w:marRight w:val="0"/>
      <w:marTop w:val="0"/>
      <w:marBottom w:val="0"/>
      <w:divBdr>
        <w:top w:val="none" w:sz="0" w:space="0" w:color="auto"/>
        <w:left w:val="none" w:sz="0" w:space="0" w:color="auto"/>
        <w:bottom w:val="none" w:sz="0" w:space="0" w:color="auto"/>
        <w:right w:val="none" w:sz="0" w:space="0" w:color="auto"/>
      </w:divBdr>
    </w:div>
    <w:div w:id="1870871271">
      <w:bodyDiv w:val="1"/>
      <w:marLeft w:val="0"/>
      <w:marRight w:val="0"/>
      <w:marTop w:val="0"/>
      <w:marBottom w:val="0"/>
      <w:divBdr>
        <w:top w:val="none" w:sz="0" w:space="0" w:color="auto"/>
        <w:left w:val="none" w:sz="0" w:space="0" w:color="auto"/>
        <w:bottom w:val="none" w:sz="0" w:space="0" w:color="auto"/>
        <w:right w:val="none" w:sz="0" w:space="0" w:color="auto"/>
      </w:divBdr>
    </w:div>
    <w:div w:id="2080517706">
      <w:bodyDiv w:val="1"/>
      <w:marLeft w:val="0"/>
      <w:marRight w:val="0"/>
      <w:marTop w:val="0"/>
      <w:marBottom w:val="0"/>
      <w:divBdr>
        <w:top w:val="none" w:sz="0" w:space="0" w:color="auto"/>
        <w:left w:val="none" w:sz="0" w:space="0" w:color="auto"/>
        <w:bottom w:val="none" w:sz="0" w:space="0" w:color="auto"/>
        <w:right w:val="none" w:sz="0" w:space="0" w:color="auto"/>
      </w:divBdr>
    </w:div>
    <w:div w:id="2108888875">
      <w:bodyDiv w:val="1"/>
      <w:marLeft w:val="0"/>
      <w:marRight w:val="0"/>
      <w:marTop w:val="0"/>
      <w:marBottom w:val="0"/>
      <w:divBdr>
        <w:top w:val="none" w:sz="0" w:space="0" w:color="auto"/>
        <w:left w:val="none" w:sz="0" w:space="0" w:color="auto"/>
        <w:bottom w:val="none" w:sz="0" w:space="0" w:color="auto"/>
        <w:right w:val="none" w:sz="0" w:space="0" w:color="auto"/>
      </w:divBdr>
    </w:div>
    <w:div w:id="21420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24811AE667544083DA327B57BD4EF0" ma:contentTypeVersion="13" ma:contentTypeDescription="Opret et nyt dokument." ma:contentTypeScope="" ma:versionID="3c3f0236e2524cf6e2b92d5f5893c108">
  <xsd:schema xmlns:xsd="http://www.w3.org/2001/XMLSchema" xmlns:xs="http://www.w3.org/2001/XMLSchema" xmlns:p="http://schemas.microsoft.com/office/2006/metadata/properties" xmlns:ns3="e40f99b1-4fa7-4683-b4e8-f37c6b51c39d" xmlns:ns4="6b2efb29-8d2b-4c99-bbdf-ec4cc6e34bb9" targetNamespace="http://schemas.microsoft.com/office/2006/metadata/properties" ma:root="true" ma:fieldsID="04d4eecae88b5e2fe5a923a744610262" ns3:_="" ns4:_="">
    <xsd:import namespace="e40f99b1-4fa7-4683-b4e8-f37c6b51c39d"/>
    <xsd:import namespace="6b2efb29-8d2b-4c99-bbdf-ec4cc6e34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f99b1-4fa7-4683-b4e8-f37c6b51c39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efb29-8d2b-4c99-bbdf-ec4cc6e34b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E69F-CB5E-4EF8-94B3-FDC1D399EB6F}">
  <ds:schemaRefs>
    <ds:schemaRef ds:uri="http://schemas.microsoft.com/sharepoint/v3/contenttype/forms"/>
  </ds:schemaRefs>
</ds:datastoreItem>
</file>

<file path=customXml/itemProps2.xml><?xml version="1.0" encoding="utf-8"?>
<ds:datastoreItem xmlns:ds="http://schemas.openxmlformats.org/officeDocument/2006/customXml" ds:itemID="{E9A491E7-FD11-4DEA-BCB9-3F304266E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f99b1-4fa7-4683-b4e8-f37c6b51c39d"/>
    <ds:schemaRef ds:uri="6b2efb29-8d2b-4c99-bbdf-ec4cc6e3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B0781-6F91-48E6-94B8-3437DEEA8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4ACF3-F776-4457-BC22-4C073F0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Arbejdsmarkedsstyrelsen</vt:lpstr>
      <vt:lpstr>Arbejdsmarkedsstyrelsen</vt:lpstr>
    </vt:vector>
  </TitlesOfParts>
  <Company>Danmarks Fiskeriforening</Company>
  <LinksUpToDate>false</LinksUpToDate>
  <CharactersWithSpaces>4426</CharactersWithSpaces>
  <SharedDoc>false</SharedDoc>
  <HLinks>
    <vt:vector size="12" baseType="variant">
      <vt:variant>
        <vt:i4>4456557</vt:i4>
      </vt:variant>
      <vt:variant>
        <vt:i4>1699</vt:i4>
      </vt:variant>
      <vt:variant>
        <vt:i4>1032</vt:i4>
      </vt:variant>
      <vt:variant>
        <vt:i4>1</vt:i4>
      </vt:variant>
      <vt:variant>
        <vt:lpwstr>DF LOGO</vt:lpwstr>
      </vt:variant>
      <vt:variant>
        <vt:lpwstr/>
      </vt:variant>
      <vt:variant>
        <vt:i4>16384118</vt:i4>
      </vt:variant>
      <vt:variant>
        <vt:i4>1736</vt:i4>
      </vt:variant>
      <vt:variant>
        <vt:i4>1028</vt:i4>
      </vt:variant>
      <vt:variant>
        <vt:i4>1</vt:i4>
      </vt:variant>
      <vt:variant>
        <vt:lpwstr>Skærmbillede 2011-01-24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Arbejdsmarkedsstyrelsen</dc:title>
  <dc:creator>Steen Sørensen</dc:creator>
  <cp:lastModifiedBy>Henrik S. Lund</cp:lastModifiedBy>
  <cp:revision>4</cp:revision>
  <cp:lastPrinted>2018-08-07T12:45:00Z</cp:lastPrinted>
  <dcterms:created xsi:type="dcterms:W3CDTF">2021-02-05T14:59:00Z</dcterms:created>
  <dcterms:modified xsi:type="dcterms:W3CDTF">2021-02-05T15:03:00Z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0x0101005924811AE667544083DA327B57BD4EF0</vt:lpwstr>
  </property>
</Properties>
</file>