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81" w:rightFromText="181" w:vertAnchor="text" w:horzAnchor="margin" w:tblpY="-2125"/>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3"/>
      </w:tblGrid>
      <w:tr w:rsidR="00E33390" w:rsidRPr="00CA1AA8" w14:paraId="3B81423E" w14:textId="77777777" w:rsidTr="007D0003">
        <w:tc>
          <w:tcPr>
            <w:tcW w:w="4503" w:type="dxa"/>
          </w:tcPr>
          <w:p w14:paraId="7E216DFD" w14:textId="2598A90E" w:rsidR="00E33390" w:rsidRPr="00D3073D" w:rsidRDefault="005F3157" w:rsidP="00942CBF">
            <w:pPr>
              <w:ind w:left="-567" w:firstLine="567"/>
              <w:rPr>
                <w:rFonts w:ascii="Arial" w:hAnsi="Arial" w:cs="Arial"/>
                <w:sz w:val="22"/>
                <w:szCs w:val="22"/>
              </w:rPr>
            </w:pPr>
            <w:r w:rsidRPr="00D3073D">
              <w:rPr>
                <w:rFonts w:ascii="Arial" w:hAnsi="Arial" w:cs="Arial"/>
                <w:sz w:val="22"/>
                <w:szCs w:val="22"/>
              </w:rPr>
              <w:t>Miljø- og Fødevareministeriet</w:t>
            </w:r>
          </w:p>
          <w:p w14:paraId="41B2AFB3" w14:textId="7D09D7F6" w:rsidR="003F548D" w:rsidRDefault="007D1400" w:rsidP="005F3157">
            <w:pPr>
              <w:ind w:left="-567" w:firstLine="567"/>
              <w:rPr>
                <w:rFonts w:ascii="Arial" w:hAnsi="Arial" w:cs="Arial"/>
                <w:sz w:val="22"/>
                <w:szCs w:val="22"/>
              </w:rPr>
            </w:pPr>
            <w:r>
              <w:rPr>
                <w:rFonts w:ascii="Arial" w:hAnsi="Arial" w:cs="Arial"/>
                <w:sz w:val="22"/>
                <w:szCs w:val="22"/>
              </w:rPr>
              <w:t>Birgitte Riber Rasmussen</w:t>
            </w:r>
          </w:p>
          <w:p w14:paraId="7B6B2C3F" w14:textId="77777777" w:rsidR="007D1400" w:rsidRPr="00612A11" w:rsidRDefault="007D1400" w:rsidP="005F3157">
            <w:pPr>
              <w:ind w:left="-567" w:firstLine="567"/>
              <w:rPr>
                <w:rFonts w:ascii="Arial" w:hAnsi="Arial" w:cs="Arial"/>
                <w:sz w:val="22"/>
                <w:szCs w:val="22"/>
                <w:lang w:val="en-US"/>
              </w:rPr>
            </w:pPr>
            <w:r w:rsidRPr="00612A11">
              <w:rPr>
                <w:rFonts w:ascii="Arial" w:hAnsi="Arial" w:cs="Arial"/>
                <w:sz w:val="22"/>
                <w:szCs w:val="22"/>
                <w:lang w:val="en-US"/>
              </w:rPr>
              <w:t>Henry Damsgaard Lanng</w:t>
            </w:r>
          </w:p>
          <w:p w14:paraId="6D3FA7E9" w14:textId="1B449FB8" w:rsidR="003F548D" w:rsidRPr="00612A11" w:rsidRDefault="007D1400" w:rsidP="005F3157">
            <w:pPr>
              <w:ind w:left="-567" w:firstLine="567"/>
              <w:rPr>
                <w:rFonts w:ascii="Arial" w:hAnsi="Arial" w:cs="Arial"/>
                <w:sz w:val="22"/>
                <w:szCs w:val="22"/>
                <w:lang w:val="en-US"/>
              </w:rPr>
            </w:pPr>
            <w:r w:rsidRPr="00612A11">
              <w:rPr>
                <w:rFonts w:ascii="Arial" w:hAnsi="Arial" w:cs="Arial"/>
                <w:sz w:val="22"/>
                <w:szCs w:val="22"/>
                <w:lang w:val="en-US"/>
              </w:rPr>
              <w:t>Juliane Dreyer</w:t>
            </w:r>
            <w:r w:rsidR="003F548D" w:rsidRPr="00612A11">
              <w:rPr>
                <w:rFonts w:ascii="Arial" w:hAnsi="Arial" w:cs="Arial"/>
                <w:sz w:val="22"/>
                <w:szCs w:val="22"/>
                <w:lang w:val="en-US"/>
              </w:rPr>
              <w:br/>
            </w:r>
          </w:p>
          <w:p w14:paraId="764E9AE2" w14:textId="77777777" w:rsidR="003F548D" w:rsidRPr="00612A11" w:rsidRDefault="003F548D" w:rsidP="003F548D">
            <w:pPr>
              <w:ind w:left="-567"/>
              <w:rPr>
                <w:rFonts w:ascii="Arial" w:hAnsi="Arial" w:cs="Arial"/>
                <w:sz w:val="22"/>
                <w:szCs w:val="22"/>
                <w:lang w:val="en-US"/>
              </w:rPr>
            </w:pPr>
          </w:p>
          <w:p w14:paraId="6A7C3EC7" w14:textId="3E1993F9" w:rsidR="005F3157" w:rsidRPr="00CA1AA8" w:rsidRDefault="005F3157" w:rsidP="003F548D">
            <w:pPr>
              <w:ind w:left="-567"/>
              <w:rPr>
                <w:szCs w:val="24"/>
              </w:rPr>
            </w:pPr>
            <w:r w:rsidRPr="00612A11">
              <w:rPr>
                <w:szCs w:val="24"/>
                <w:lang w:val="en-US"/>
              </w:rPr>
              <w:br/>
            </w:r>
            <w:r w:rsidRPr="00612A11">
              <w:rPr>
                <w:szCs w:val="24"/>
                <w:lang w:val="en-US"/>
              </w:rPr>
              <w:br/>
            </w:r>
            <w:r w:rsidRPr="00CA1AA8">
              <w:rPr>
                <w:szCs w:val="24"/>
              </w:rPr>
              <w:t>og</w:t>
            </w:r>
            <w:r w:rsidRPr="00CA1AA8">
              <w:rPr>
                <w:szCs w:val="24"/>
              </w:rPr>
              <w:br/>
              <w:t>og</w:t>
            </w:r>
          </w:p>
        </w:tc>
      </w:tr>
    </w:tbl>
    <w:p w14:paraId="68D71837" w14:textId="77777777" w:rsidR="002A2CE1" w:rsidRPr="00CA1AA8" w:rsidRDefault="002A2CE1" w:rsidP="002A2CE1">
      <w:pPr>
        <w:rPr>
          <w:szCs w:val="24"/>
        </w:rPr>
      </w:pPr>
      <w:r w:rsidRPr="00CA1AA8">
        <w:rPr>
          <w:szCs w:val="24"/>
        </w:rPr>
        <w:tab/>
      </w:r>
      <w:r w:rsidRPr="00CA1AA8">
        <w:rPr>
          <w:szCs w:val="24"/>
        </w:rPr>
        <w:tab/>
      </w:r>
    </w:p>
    <w:tbl>
      <w:tblPr>
        <w:tblStyle w:val="Tabel-Gitter"/>
        <w:tblW w:w="21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tblGrid>
      <w:tr w:rsidR="002A2CE1" w:rsidRPr="00CA1AA8" w14:paraId="464ECACA" w14:textId="77777777" w:rsidTr="004007F4">
        <w:trPr>
          <w:trHeight w:val="268"/>
          <w:jc w:val="right"/>
        </w:trPr>
        <w:tc>
          <w:tcPr>
            <w:tcW w:w="2121" w:type="dxa"/>
          </w:tcPr>
          <w:p w14:paraId="1EC8F210" w14:textId="71F65E5D" w:rsidR="004007F4" w:rsidRPr="00D3073D" w:rsidRDefault="009103B6" w:rsidP="004007F4">
            <w:pPr>
              <w:rPr>
                <w:rFonts w:ascii="Arial" w:hAnsi="Arial" w:cs="Arial"/>
                <w:color w:val="000000" w:themeColor="text1"/>
                <w:sz w:val="22"/>
                <w:szCs w:val="22"/>
              </w:rPr>
            </w:pPr>
            <w:r>
              <w:rPr>
                <w:rFonts w:ascii="Arial" w:hAnsi="Arial" w:cs="Arial"/>
                <w:color w:val="000000" w:themeColor="text1"/>
                <w:sz w:val="22"/>
                <w:szCs w:val="22"/>
              </w:rPr>
              <w:t>2. juni</w:t>
            </w:r>
            <w:r w:rsidR="003F548D">
              <w:rPr>
                <w:rFonts w:ascii="Arial" w:hAnsi="Arial" w:cs="Arial"/>
                <w:color w:val="000000" w:themeColor="text1"/>
                <w:sz w:val="22"/>
                <w:szCs w:val="22"/>
              </w:rPr>
              <w:t xml:space="preserve"> 2020</w:t>
            </w:r>
          </w:p>
          <w:p w14:paraId="1DFB21DD" w14:textId="2DC0A764" w:rsidR="002A2CE1" w:rsidRPr="00CA1AA8" w:rsidRDefault="004007F4" w:rsidP="004007F4">
            <w:pPr>
              <w:rPr>
                <w:color w:val="000000" w:themeColor="text1"/>
                <w:szCs w:val="24"/>
              </w:rPr>
            </w:pPr>
            <w:r w:rsidRPr="00D3073D">
              <w:rPr>
                <w:rFonts w:ascii="Arial" w:hAnsi="Arial" w:cs="Arial"/>
                <w:color w:val="000000" w:themeColor="text1"/>
                <w:sz w:val="22"/>
                <w:szCs w:val="22"/>
              </w:rPr>
              <w:t xml:space="preserve">Ref.: </w:t>
            </w:r>
            <w:r w:rsidR="009103B6">
              <w:rPr>
                <w:rFonts w:ascii="Arial" w:hAnsi="Arial" w:cs="Arial"/>
                <w:color w:val="000000" w:themeColor="text1"/>
                <w:sz w:val="22"/>
                <w:szCs w:val="22"/>
              </w:rPr>
              <w:t>TK</w:t>
            </w:r>
          </w:p>
        </w:tc>
      </w:tr>
    </w:tbl>
    <w:p w14:paraId="272C02AA" w14:textId="77777777" w:rsidR="00E33390" w:rsidRPr="00CA1AA8" w:rsidRDefault="00B210E5">
      <w:pPr>
        <w:rPr>
          <w:szCs w:val="24"/>
        </w:rPr>
      </w:pPr>
    </w:p>
    <w:tbl>
      <w:tblPr>
        <w:tblStyle w:val="Tabel-Gitter"/>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9781"/>
        <w:gridCol w:w="585"/>
      </w:tblGrid>
      <w:tr w:rsidR="00BE5F1A" w:rsidRPr="00CA1AA8" w14:paraId="40971805" w14:textId="77777777" w:rsidTr="00084B9B">
        <w:tc>
          <w:tcPr>
            <w:tcW w:w="9781" w:type="dxa"/>
          </w:tcPr>
          <w:p w14:paraId="68AA094B" w14:textId="6D4BC937" w:rsidR="003F548D" w:rsidRPr="003F548D" w:rsidRDefault="00942CBF" w:rsidP="003F548D">
            <w:pPr>
              <w:rPr>
                <w:b/>
                <w:bCs/>
                <w:sz w:val="22"/>
              </w:rPr>
            </w:pPr>
            <w:r w:rsidRPr="003F548D">
              <w:rPr>
                <w:rFonts w:ascii="Arial" w:hAnsi="Arial" w:cs="Arial"/>
                <w:b/>
                <w:szCs w:val="24"/>
              </w:rPr>
              <w:t xml:space="preserve">§5-høring af </w:t>
            </w:r>
            <w:r w:rsidR="007D1400">
              <w:rPr>
                <w:rFonts w:ascii="Arial" w:hAnsi="Arial" w:cs="Arial"/>
                <w:b/>
                <w:szCs w:val="24"/>
              </w:rPr>
              <w:t>28. maj om forslag til revision af kontrolforordningen</w:t>
            </w:r>
          </w:p>
          <w:p w14:paraId="59D00186" w14:textId="12DE99E6" w:rsidR="005F3157" w:rsidRDefault="005F3157" w:rsidP="00CA1AA8">
            <w:pPr>
              <w:rPr>
                <w:rFonts w:ascii="Arial" w:hAnsi="Arial" w:cs="Arial"/>
                <w:b/>
                <w:sz w:val="22"/>
                <w:szCs w:val="22"/>
              </w:rPr>
            </w:pPr>
          </w:p>
          <w:p w14:paraId="4E326600" w14:textId="77777777" w:rsidR="007D1400" w:rsidRPr="003F548D" w:rsidRDefault="003F548D" w:rsidP="007D1400">
            <w:pPr>
              <w:spacing w:after="160" w:line="259" w:lineRule="auto"/>
              <w:rPr>
                <w:rFonts w:ascii="Calibri" w:eastAsia="Calibri" w:hAnsi="Calibri"/>
                <w:sz w:val="22"/>
                <w:szCs w:val="26"/>
                <w:lang w:eastAsia="en-US"/>
              </w:rPr>
            </w:pPr>
            <w:r w:rsidRPr="003F548D">
              <w:rPr>
                <w:rFonts w:ascii="Calibri" w:eastAsia="Calibri" w:hAnsi="Calibri"/>
                <w:sz w:val="22"/>
                <w:szCs w:val="26"/>
                <w:lang w:eastAsia="en-US"/>
              </w:rPr>
              <w:t>Hermed fremsendes</w:t>
            </w:r>
            <w:r w:rsidR="007D1400">
              <w:rPr>
                <w:rFonts w:ascii="Calibri" w:eastAsia="Calibri" w:hAnsi="Calibri"/>
                <w:sz w:val="22"/>
                <w:szCs w:val="26"/>
                <w:lang w:eastAsia="en-US"/>
              </w:rPr>
              <w:t xml:space="preserve"> fælles</w:t>
            </w:r>
            <w:r w:rsidRPr="003F548D">
              <w:rPr>
                <w:rFonts w:ascii="Calibri" w:eastAsia="Calibri" w:hAnsi="Calibri"/>
                <w:sz w:val="22"/>
                <w:szCs w:val="26"/>
                <w:lang w:eastAsia="en-US"/>
              </w:rPr>
              <w:t xml:space="preserve"> kommentarer til </w:t>
            </w:r>
            <w:r>
              <w:rPr>
                <w:rFonts w:ascii="Calibri" w:eastAsia="Calibri" w:hAnsi="Calibri"/>
                <w:sz w:val="22"/>
                <w:szCs w:val="26"/>
                <w:lang w:eastAsia="en-US"/>
              </w:rPr>
              <w:t>h</w:t>
            </w:r>
            <w:r w:rsidRPr="003F548D">
              <w:rPr>
                <w:rFonts w:ascii="Calibri" w:eastAsia="Calibri" w:hAnsi="Calibri"/>
                <w:sz w:val="22"/>
                <w:szCs w:val="26"/>
                <w:lang w:eastAsia="en-US"/>
              </w:rPr>
              <w:t xml:space="preserve">øring </w:t>
            </w:r>
            <w:r>
              <w:rPr>
                <w:rFonts w:ascii="Calibri" w:eastAsia="Calibri" w:hAnsi="Calibri"/>
                <w:sz w:val="22"/>
                <w:szCs w:val="26"/>
                <w:lang w:eastAsia="en-US"/>
              </w:rPr>
              <w:t xml:space="preserve">af </w:t>
            </w:r>
            <w:r w:rsidR="007D1400">
              <w:rPr>
                <w:rFonts w:ascii="Calibri" w:eastAsia="Calibri" w:hAnsi="Calibri"/>
                <w:sz w:val="22"/>
                <w:szCs w:val="26"/>
                <w:lang w:eastAsia="en-US"/>
              </w:rPr>
              <w:t>28</w:t>
            </w:r>
            <w:r>
              <w:rPr>
                <w:rFonts w:ascii="Calibri" w:eastAsia="Calibri" w:hAnsi="Calibri"/>
                <w:sz w:val="22"/>
                <w:szCs w:val="26"/>
                <w:lang w:eastAsia="en-US"/>
              </w:rPr>
              <w:t xml:space="preserve">. maj </w:t>
            </w:r>
            <w:r w:rsidRPr="003F548D">
              <w:rPr>
                <w:rFonts w:ascii="Calibri" w:eastAsia="Calibri" w:hAnsi="Calibri"/>
                <w:sz w:val="22"/>
                <w:szCs w:val="26"/>
                <w:lang w:eastAsia="en-US"/>
              </w:rPr>
              <w:t xml:space="preserve">om </w:t>
            </w:r>
            <w:r w:rsidR="007D1400">
              <w:rPr>
                <w:rFonts w:ascii="Calibri" w:eastAsia="Calibri" w:hAnsi="Calibri"/>
                <w:sz w:val="22"/>
                <w:szCs w:val="26"/>
                <w:lang w:eastAsia="en-US"/>
              </w:rPr>
              <w:t xml:space="preserve">Kommissionens forslag til revision af kontrolforordningen og det kroatiske formandskabs seneste kompromisforslag </w:t>
            </w:r>
            <w:r w:rsidR="007D1400" w:rsidRPr="003F548D">
              <w:rPr>
                <w:rFonts w:ascii="Calibri" w:eastAsia="Calibri" w:hAnsi="Calibri"/>
                <w:sz w:val="22"/>
                <w:szCs w:val="26"/>
                <w:lang w:eastAsia="en-US"/>
              </w:rPr>
              <w:t xml:space="preserve">fra Danmarks Fiskeriforening PO (DFPO) og Danmarks Pelagiske Producentorganisation (DPPO). </w:t>
            </w:r>
          </w:p>
          <w:p w14:paraId="67481B82" w14:textId="6F5689E8" w:rsidR="003F548D" w:rsidRDefault="007D1400" w:rsidP="003F548D">
            <w:pPr>
              <w:spacing w:after="160" w:line="259" w:lineRule="auto"/>
              <w:rPr>
                <w:rFonts w:ascii="Calibri" w:eastAsia="Calibri" w:hAnsi="Calibri"/>
                <w:sz w:val="22"/>
                <w:szCs w:val="26"/>
                <w:lang w:eastAsia="en-US"/>
              </w:rPr>
            </w:pPr>
            <w:r>
              <w:rPr>
                <w:rFonts w:ascii="Calibri" w:eastAsia="Calibri" w:hAnsi="Calibri"/>
                <w:sz w:val="22"/>
                <w:szCs w:val="26"/>
                <w:lang w:eastAsia="en-US"/>
              </w:rPr>
              <w:t>Udover de</w:t>
            </w:r>
            <w:r w:rsidR="00072111">
              <w:rPr>
                <w:rFonts w:ascii="Calibri" w:eastAsia="Calibri" w:hAnsi="Calibri"/>
                <w:sz w:val="22"/>
                <w:szCs w:val="26"/>
                <w:lang w:eastAsia="en-US"/>
              </w:rPr>
              <w:t xml:space="preserve"> </w:t>
            </w:r>
            <w:r w:rsidR="00612A11">
              <w:rPr>
                <w:rFonts w:ascii="Calibri" w:eastAsia="Calibri" w:hAnsi="Calibri"/>
                <w:sz w:val="22"/>
                <w:szCs w:val="26"/>
                <w:lang w:eastAsia="en-US"/>
              </w:rPr>
              <w:t xml:space="preserve">specifikke </w:t>
            </w:r>
            <w:r>
              <w:rPr>
                <w:rFonts w:ascii="Calibri" w:eastAsia="Calibri" w:hAnsi="Calibri"/>
                <w:sz w:val="22"/>
                <w:szCs w:val="26"/>
                <w:lang w:eastAsia="en-US"/>
              </w:rPr>
              <w:t>bemærkninger, der følger af denne høring, henvises til tidligere fremsendte bemærknin</w:t>
            </w:r>
            <w:r w:rsidR="0075589B">
              <w:rPr>
                <w:rFonts w:ascii="Calibri" w:eastAsia="Calibri" w:hAnsi="Calibri"/>
                <w:sz w:val="22"/>
                <w:szCs w:val="26"/>
                <w:lang w:eastAsia="en-US"/>
              </w:rPr>
              <w:t xml:space="preserve">ger til Kommissionens oprindelige forslag </w:t>
            </w:r>
            <w:r w:rsidR="000C3D58">
              <w:rPr>
                <w:rFonts w:ascii="Calibri" w:eastAsia="Calibri" w:hAnsi="Calibri"/>
                <w:sz w:val="22"/>
                <w:szCs w:val="26"/>
                <w:lang w:eastAsia="en-US"/>
              </w:rPr>
              <w:t xml:space="preserve">den 5. juli </w:t>
            </w:r>
            <w:r w:rsidR="0075589B">
              <w:rPr>
                <w:rFonts w:ascii="Calibri" w:eastAsia="Calibri" w:hAnsi="Calibri"/>
                <w:sz w:val="22"/>
                <w:szCs w:val="26"/>
                <w:lang w:eastAsia="en-US"/>
              </w:rPr>
              <w:t>2018 og senere kompromistekste</w:t>
            </w:r>
            <w:r w:rsidR="00072111">
              <w:rPr>
                <w:rFonts w:ascii="Calibri" w:eastAsia="Calibri" w:hAnsi="Calibri"/>
                <w:sz w:val="22"/>
                <w:szCs w:val="26"/>
                <w:lang w:eastAsia="en-US"/>
              </w:rPr>
              <w:t xml:space="preserve">r, fremsendt til </w:t>
            </w:r>
            <w:r w:rsidR="00024A1B">
              <w:rPr>
                <w:rFonts w:ascii="Calibri" w:eastAsia="Calibri" w:hAnsi="Calibri"/>
                <w:sz w:val="22"/>
                <w:szCs w:val="26"/>
                <w:lang w:eastAsia="en-US"/>
              </w:rPr>
              <w:t>Fødevareministeriet</w:t>
            </w:r>
            <w:r w:rsidR="00072111">
              <w:rPr>
                <w:rFonts w:ascii="Calibri" w:eastAsia="Calibri" w:hAnsi="Calibri"/>
                <w:sz w:val="22"/>
                <w:szCs w:val="26"/>
                <w:lang w:eastAsia="en-US"/>
              </w:rPr>
              <w:t xml:space="preserve"> den</w:t>
            </w:r>
            <w:r>
              <w:rPr>
                <w:rFonts w:ascii="Calibri" w:eastAsia="Calibri" w:hAnsi="Calibri"/>
                <w:sz w:val="22"/>
                <w:szCs w:val="26"/>
                <w:lang w:eastAsia="en-US"/>
              </w:rPr>
              <w:t xml:space="preserve"> 3. marts, 27. marts, 18. april</w:t>
            </w:r>
            <w:r w:rsidR="0075589B">
              <w:rPr>
                <w:rFonts w:ascii="Calibri" w:eastAsia="Calibri" w:hAnsi="Calibri"/>
                <w:sz w:val="22"/>
                <w:szCs w:val="26"/>
                <w:lang w:eastAsia="en-US"/>
              </w:rPr>
              <w:t>, 7. maj</w:t>
            </w:r>
            <w:r w:rsidR="00024A1B">
              <w:rPr>
                <w:rFonts w:ascii="Calibri" w:eastAsia="Calibri" w:hAnsi="Calibri"/>
                <w:sz w:val="22"/>
                <w:szCs w:val="26"/>
                <w:lang w:eastAsia="en-US"/>
              </w:rPr>
              <w:t xml:space="preserve"> og 25. maj</w:t>
            </w:r>
            <w:r w:rsidR="00430616">
              <w:rPr>
                <w:rFonts w:ascii="Calibri" w:eastAsia="Calibri" w:hAnsi="Calibri"/>
                <w:sz w:val="22"/>
                <w:szCs w:val="26"/>
                <w:lang w:eastAsia="en-US"/>
              </w:rPr>
              <w:t xml:space="preserve"> 2020</w:t>
            </w:r>
            <w:r w:rsidR="0075589B">
              <w:rPr>
                <w:rFonts w:ascii="Calibri" w:eastAsia="Calibri" w:hAnsi="Calibri"/>
                <w:sz w:val="22"/>
                <w:szCs w:val="26"/>
                <w:lang w:eastAsia="en-US"/>
              </w:rPr>
              <w:t>.</w:t>
            </w:r>
          </w:p>
          <w:p w14:paraId="7477D747" w14:textId="182985E7" w:rsidR="0059048C" w:rsidRDefault="0059048C" w:rsidP="00612A11">
            <w:pPr>
              <w:spacing w:after="160" w:line="259" w:lineRule="auto"/>
              <w:rPr>
                <w:rFonts w:ascii="Calibri" w:eastAsia="Calibri" w:hAnsi="Calibri"/>
                <w:sz w:val="22"/>
                <w:szCs w:val="26"/>
                <w:lang w:eastAsia="en-US"/>
              </w:rPr>
            </w:pPr>
            <w:r>
              <w:rPr>
                <w:rFonts w:ascii="Calibri" w:eastAsia="Calibri" w:hAnsi="Calibri"/>
                <w:b/>
                <w:bCs/>
                <w:sz w:val="22"/>
                <w:szCs w:val="26"/>
                <w:lang w:eastAsia="en-US"/>
              </w:rPr>
              <w:t xml:space="preserve">Generelle bemærkninger til Kommissionens </w:t>
            </w:r>
            <w:r w:rsidR="000C3D58">
              <w:rPr>
                <w:rFonts w:ascii="Calibri" w:eastAsia="Calibri" w:hAnsi="Calibri"/>
                <w:b/>
                <w:bCs/>
                <w:sz w:val="22"/>
                <w:szCs w:val="26"/>
                <w:lang w:eastAsia="en-US"/>
              </w:rPr>
              <w:t xml:space="preserve">oprindelige </w:t>
            </w:r>
            <w:r>
              <w:rPr>
                <w:rFonts w:ascii="Calibri" w:eastAsia="Calibri" w:hAnsi="Calibri"/>
                <w:b/>
                <w:bCs/>
                <w:sz w:val="22"/>
                <w:szCs w:val="26"/>
                <w:lang w:eastAsia="en-US"/>
              </w:rPr>
              <w:t>forslag til revision af kontrolforordningen</w:t>
            </w:r>
            <w:r w:rsidR="000C3D58">
              <w:rPr>
                <w:rFonts w:ascii="Calibri" w:eastAsia="Calibri" w:hAnsi="Calibri"/>
                <w:b/>
                <w:bCs/>
                <w:sz w:val="22"/>
                <w:szCs w:val="26"/>
                <w:lang w:eastAsia="en-US"/>
              </w:rPr>
              <w:br/>
            </w:r>
            <w:r w:rsidR="000C3D58">
              <w:rPr>
                <w:rFonts w:ascii="Calibri" w:eastAsia="Calibri" w:hAnsi="Calibri"/>
                <w:sz w:val="22"/>
                <w:szCs w:val="26"/>
                <w:lang w:eastAsia="en-US"/>
              </w:rPr>
              <w:t>Den 5. juli 2018 afgav Danmarks Fiskeriforening PO følgende bemærkninger til Kommissionens forslag til revision af kontrolforordningen</w:t>
            </w:r>
            <w:r w:rsidR="00430616">
              <w:rPr>
                <w:rFonts w:ascii="Calibri" w:eastAsia="Calibri" w:hAnsi="Calibri"/>
                <w:sz w:val="22"/>
                <w:szCs w:val="26"/>
                <w:lang w:eastAsia="en-US"/>
              </w:rPr>
              <w:t>:</w:t>
            </w:r>
          </w:p>
          <w:p w14:paraId="481B0AF9" w14:textId="465D106F"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 xml:space="preserve">Danmarks Fiskeriforening PO (DFPO) har længe efterlyst en forenkling af kontrolreglerne og at kontrolreglerne i større omfang spiller sammen med den øvrige fælles fiskeripolitik og hilser det velkommen, at Kommissionen nu har fremlagt forslag til revision af kontrolforordningen.  </w:t>
            </w:r>
          </w:p>
          <w:p w14:paraId="5080D8BC"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DFPO havde dog gerne set, at Kommissionen i stedet for et forslag til revision af de eksisterende regler, havde fremlagt et helt nyt forslag, og derved var indstillet på en egentlig reform af kontrolreglerne.</w:t>
            </w:r>
          </w:p>
          <w:p w14:paraId="7A077BCF"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Kontrolbestemmelserne er sammen med regelsættet i den fælles fiskeripolitik i høj grad med til at sætte rammerne for fiskerierhvervet i EU. At foreslå foranstaltninger til kontrol af landingspligten, førend de problemer, som er tilknyttet selve landingspligten er løst, virker forhastet. Det medvirker til at skærpe det indtryk, at man fra Kommissionens side, hurtigst muligt vil påbegynde håndhævelsen af landingspligten uden at tage hensyn til, at man fortsat ikke har løst, hvordan landingspligten kan implementeres uden at gøre stor skade på erhvervet.</w:t>
            </w:r>
          </w:p>
          <w:p w14:paraId="0C25BA66"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Kommissionen forklarer, at man med forslaget vil forenkle og strømline bestemmelserne, så kontrol og håndhævelse inkl. sanktioner, ensrettes på tværs af farvande og medlemsstater. Det er jo i udgangspunktet positivt, men det ville være mere hensigtsmæssigt, hvis Kommissionen lagde sig i selen for at løse problemerne, dér hvor de er, eller hvor de forventes at opstå, fremfor at foreslå en ensretning, som ikke giver medlemsstaterne råderum til at selv at disponere over kontrol- og sanktionsmidler.</w:t>
            </w:r>
          </w:p>
          <w:p w14:paraId="1E6C9AD2"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lastRenderedPageBreak/>
              <w:t xml:space="preserve">DFPO kan </w:t>
            </w:r>
            <w:r w:rsidRPr="00430616">
              <w:rPr>
                <w:rFonts w:ascii="Calibri" w:eastAsia="Calibri" w:hAnsi="Calibri"/>
                <w:sz w:val="22"/>
                <w:szCs w:val="22"/>
                <w:u w:val="single"/>
                <w:lang w:eastAsia="en-US"/>
              </w:rPr>
              <w:t>ikke</w:t>
            </w:r>
            <w:r w:rsidRPr="000C3D58">
              <w:rPr>
                <w:rFonts w:ascii="Calibri" w:eastAsia="Calibri" w:hAnsi="Calibri"/>
                <w:sz w:val="22"/>
                <w:szCs w:val="22"/>
                <w:lang w:eastAsia="en-US"/>
              </w:rPr>
              <w:t xml:space="preserve"> tilslutte sig Kommissionens forslag om, at sanktioners størrelse og rækkevidde </w:t>
            </w:r>
            <w:r w:rsidRPr="00430616">
              <w:rPr>
                <w:rFonts w:ascii="Calibri" w:eastAsia="Calibri" w:hAnsi="Calibri"/>
                <w:sz w:val="22"/>
                <w:szCs w:val="22"/>
                <w:u w:val="single"/>
                <w:lang w:eastAsia="en-US"/>
              </w:rPr>
              <w:t>ikke</w:t>
            </w:r>
            <w:r w:rsidRPr="000C3D58">
              <w:rPr>
                <w:rFonts w:ascii="Calibri" w:eastAsia="Calibri" w:hAnsi="Calibri"/>
                <w:sz w:val="22"/>
                <w:szCs w:val="22"/>
                <w:lang w:eastAsia="en-US"/>
              </w:rPr>
              <w:t xml:space="preserve"> skal være et anliggende for de enkelte medlemsstater. Danmarks Fiskeriforening har igennem årene haft et konstruktivt samarbejde om myndighedsudøvelsen overfor fiskerierhvervet. Den dialog ønsker vi at fortsætte i fremtiden, hvilket forslaget vil gøre vanskeligt.</w:t>
            </w:r>
          </w:p>
          <w:p w14:paraId="477C33DE" w14:textId="100E9935" w:rsidR="000C3D58" w:rsidRPr="000C3D58" w:rsidRDefault="000C3D58" w:rsidP="000C3D58">
            <w:pPr>
              <w:spacing w:after="200" w:line="276" w:lineRule="auto"/>
              <w:rPr>
                <w:rFonts w:ascii="Calibri" w:eastAsia="Calibri" w:hAnsi="Calibri"/>
                <w:sz w:val="22"/>
                <w:szCs w:val="22"/>
                <w:lang w:eastAsia="en-US"/>
              </w:rPr>
            </w:pPr>
            <w:r w:rsidRPr="000C3D58">
              <w:rPr>
                <w:rFonts w:ascii="Calibri" w:eastAsia="Calibri" w:hAnsi="Calibri"/>
                <w:sz w:val="22"/>
                <w:szCs w:val="22"/>
                <w:lang w:eastAsia="en-US"/>
              </w:rPr>
              <w:t xml:space="preserve">Fiskeriet vil ved nærlæsning af Kommissionens forslag unægtelig opleve revisionen som værende bebyrdende og skærpende i forhold til i dag, og ikke som den forenkling, Kommissionen lægger op til. Indførsel af overvågning af fartøjer, større sanktionstryk, overvågning af motorkraft, fjernelse af undtagelser for små fartøjer, er alt sammen med til at give indtryk af en kriminalisering af erhvervet, som ingen kan være tjent med, og som der bør gribes ind over for. At pålægge små fartøjer øgede byrder vil </w:t>
            </w:r>
            <w:r w:rsidR="00204ADF" w:rsidRPr="000C3D58">
              <w:rPr>
                <w:rFonts w:ascii="Calibri" w:eastAsia="Calibri" w:hAnsi="Calibri"/>
                <w:sz w:val="22"/>
                <w:szCs w:val="22"/>
                <w:lang w:eastAsia="en-US"/>
              </w:rPr>
              <w:t>f.eks.</w:t>
            </w:r>
            <w:r w:rsidRPr="000C3D58">
              <w:rPr>
                <w:rFonts w:ascii="Calibri" w:eastAsia="Calibri" w:hAnsi="Calibri"/>
                <w:sz w:val="22"/>
                <w:szCs w:val="22"/>
                <w:lang w:eastAsia="en-US"/>
              </w:rPr>
              <w:t xml:space="preserve"> gøre stor skade på det kystnære fiskeri.</w:t>
            </w:r>
            <w:r w:rsidRPr="000C3D58">
              <w:rPr>
                <w:rFonts w:ascii="Calibri" w:eastAsia="Calibri" w:hAnsi="Calibri"/>
                <w:sz w:val="22"/>
                <w:szCs w:val="22"/>
                <w:lang w:eastAsia="en-US"/>
              </w:rPr>
              <w:br/>
            </w:r>
            <w:r w:rsidRPr="000C3D58">
              <w:rPr>
                <w:rFonts w:ascii="Calibri" w:eastAsia="Calibri" w:hAnsi="Calibri"/>
                <w:sz w:val="22"/>
                <w:szCs w:val="22"/>
                <w:lang w:eastAsia="en-US"/>
              </w:rPr>
              <w:br/>
              <w:t xml:space="preserve">Samlet set er der ingen tvivl om at Kommissionens forslag om, at mindre fartøjer skal bebyrdes med omfattende elektroniske rapporteringsforpligtelser samt forslagene om restriktive regler for vejning og transport vil medføre en begrænsning i fiskeriaktiviteterne i de mindre havne og landingssteder. </w:t>
            </w:r>
          </w:p>
          <w:p w14:paraId="02DEB3BA" w14:textId="1B18378F"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 xml:space="preserve">Helt generelt havde DFPO foretrukket en model, hvor de nationale myndigheder havde haft større indflydelse på kontrolpolitikken ud fra en regionaliseret og risikobaseret tilgang. Det havde sikret, man ikke som foreslået forsøger at løse problemerne med manglende overholdelse af reglerne i </w:t>
            </w:r>
            <w:r w:rsidR="00204ADF" w:rsidRPr="000C3D58">
              <w:rPr>
                <w:rFonts w:ascii="Calibri" w:eastAsia="Calibri" w:hAnsi="Calibri"/>
                <w:sz w:val="22"/>
                <w:szCs w:val="22"/>
                <w:lang w:eastAsia="en-US"/>
              </w:rPr>
              <w:t>f.eks.</w:t>
            </w:r>
            <w:r w:rsidRPr="000C3D58">
              <w:rPr>
                <w:rFonts w:ascii="Calibri" w:eastAsia="Calibri" w:hAnsi="Calibri"/>
                <w:sz w:val="22"/>
                <w:szCs w:val="22"/>
                <w:lang w:eastAsia="en-US"/>
              </w:rPr>
              <w:t xml:space="preserve"> Middelhavet, ved at pålægge fiskeriet i andre farvande en række stramninger med påstand om regelforenklinger. Det er ikke en fair og rimelig tilgang at anlægge.</w:t>
            </w:r>
          </w:p>
          <w:p w14:paraId="34A1A583"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DFPO mener, at der i stedet bør lægges kræfter i en stabil udvikling af kontrolreglerne snarere end at indføre nye og mere radikale ændringer i kontrolsystemet.</w:t>
            </w:r>
          </w:p>
          <w:p w14:paraId="38575C3F"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DFPO lægger vægt på, at den lovgivningsmæssige ramme og indgriben skal være balanceret i forhold til det at drive et fiskerierhverv. I stedet for at mistænkeliggøre fiskerierhvervet generelt og indføre hårdere sanktioner overalt, burde man i højere grad involvere erhvervet regionalt i at finde løsninger, som tilfredsstiller både myndigheder og erhverv, så erhvervet i højere grad kan tage medejerskab til kontrolbestemmelserne.</w:t>
            </w:r>
          </w:p>
          <w:p w14:paraId="0A7ABC93"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Der er forskelle mellem fiskeriet i Middelhavet og i Nordatlanten. De forskelle kan man ikke udligne ved blot at ensrette bestemmelser og sanktioner. Man kan ikke løse alle strukturelle og geografiske forskelle ved ensartethed. Det er vel også derfor, at man i sin tid nedsatte de regionale rådgivningsorganer, for netop at tage hensyn til regionale forskelle i såvel bestande som fiskerier. Man burde derfor i højere grad fokusere på en regional tilgang til kontrolpolitikken, så den følger den anlagte tilgang i fiskeripolitikken.</w:t>
            </w:r>
          </w:p>
          <w:p w14:paraId="394F9A63" w14:textId="77777777" w:rsidR="000C3D58" w:rsidRPr="000C3D58" w:rsidRDefault="000C3D58" w:rsidP="000C3D58">
            <w:pPr>
              <w:spacing w:after="200" w:line="276" w:lineRule="auto"/>
              <w:jc w:val="both"/>
              <w:rPr>
                <w:rFonts w:ascii="Calibri" w:eastAsia="Calibri" w:hAnsi="Calibri"/>
                <w:sz w:val="22"/>
                <w:szCs w:val="22"/>
                <w:lang w:eastAsia="en-US"/>
              </w:rPr>
            </w:pPr>
            <w:r w:rsidRPr="000C3D58">
              <w:rPr>
                <w:rFonts w:ascii="Calibri" w:eastAsia="Calibri" w:hAnsi="Calibri"/>
                <w:sz w:val="22"/>
                <w:szCs w:val="22"/>
                <w:lang w:eastAsia="en-US"/>
              </w:rPr>
              <w:t>Sammenfattende vil Danmarks Fiskeriforening PO i arbejdet Kommissionens forslag til en revision af kontrolforordning arbejde på at sikre:</w:t>
            </w:r>
          </w:p>
          <w:p w14:paraId="3DE28D0D" w14:textId="77777777" w:rsidR="000C3D58" w:rsidRPr="000C3D58" w:rsidRDefault="000C3D58" w:rsidP="000C3D58">
            <w:pPr>
              <w:numPr>
                <w:ilvl w:val="0"/>
                <w:numId w:val="8"/>
              </w:numPr>
              <w:spacing w:after="160" w:line="256" w:lineRule="auto"/>
              <w:contextualSpacing/>
              <w:jc w:val="both"/>
              <w:rPr>
                <w:rFonts w:ascii="Calibri" w:eastAsia="Calibri" w:hAnsi="Calibri"/>
                <w:sz w:val="22"/>
                <w:szCs w:val="22"/>
                <w:lang w:eastAsia="en-US"/>
              </w:rPr>
            </w:pPr>
            <w:r w:rsidRPr="000C3D58">
              <w:rPr>
                <w:rFonts w:ascii="Calibri" w:eastAsia="Calibri" w:hAnsi="Calibri"/>
                <w:sz w:val="22"/>
                <w:szCs w:val="22"/>
                <w:lang w:eastAsia="en-US"/>
              </w:rPr>
              <w:t>at så mange regler som muligt samles i kontrolforordningen, så det bliver overskueligt for både myndigheder og erhverv at orientere sig i reglerne,</w:t>
            </w:r>
          </w:p>
          <w:p w14:paraId="3749F155" w14:textId="77777777" w:rsidR="000C3D58" w:rsidRPr="000C3D58" w:rsidRDefault="000C3D58" w:rsidP="000C3D58">
            <w:pPr>
              <w:numPr>
                <w:ilvl w:val="0"/>
                <w:numId w:val="8"/>
              </w:numPr>
              <w:spacing w:after="160" w:line="256" w:lineRule="auto"/>
              <w:contextualSpacing/>
              <w:jc w:val="both"/>
              <w:rPr>
                <w:rFonts w:ascii="Calibri" w:eastAsia="Calibri" w:hAnsi="Calibri"/>
                <w:sz w:val="22"/>
                <w:szCs w:val="22"/>
                <w:lang w:eastAsia="en-US"/>
              </w:rPr>
            </w:pPr>
            <w:r w:rsidRPr="000C3D58">
              <w:rPr>
                <w:rFonts w:ascii="Calibri" w:eastAsia="Calibri" w:hAnsi="Calibri"/>
                <w:sz w:val="22"/>
                <w:szCs w:val="22"/>
                <w:lang w:eastAsia="en-US"/>
              </w:rPr>
              <w:lastRenderedPageBreak/>
              <w:t>at det er op til medlemsstaterne at håndhæve og udføre kontrollen i samarbejde med erhvervet.</w:t>
            </w:r>
          </w:p>
          <w:p w14:paraId="2ABC19E7" w14:textId="77777777" w:rsidR="000C3D58" w:rsidRPr="000C3D58" w:rsidRDefault="000C3D58" w:rsidP="000C3D58">
            <w:pPr>
              <w:numPr>
                <w:ilvl w:val="0"/>
                <w:numId w:val="8"/>
              </w:numPr>
              <w:spacing w:after="160" w:line="256" w:lineRule="auto"/>
              <w:contextualSpacing/>
              <w:jc w:val="both"/>
              <w:rPr>
                <w:rFonts w:ascii="Calibri" w:eastAsia="Calibri" w:hAnsi="Calibri"/>
                <w:sz w:val="22"/>
                <w:szCs w:val="22"/>
                <w:lang w:eastAsia="en-US"/>
              </w:rPr>
            </w:pPr>
            <w:r w:rsidRPr="000C3D58">
              <w:rPr>
                <w:rFonts w:ascii="Calibri" w:eastAsia="Calibri" w:hAnsi="Calibri"/>
                <w:sz w:val="22"/>
                <w:szCs w:val="22"/>
                <w:lang w:eastAsia="en-US"/>
              </w:rPr>
              <w:t>yderligere regionalisering i arbejdet med kontrol og håndhævelse og inddragelse af erhvervet i anvendelse af foranstaltningerne.</w:t>
            </w:r>
          </w:p>
          <w:p w14:paraId="0D3A8C76" w14:textId="77777777" w:rsidR="000C3D58" w:rsidRPr="000C3D58" w:rsidRDefault="000C3D58" w:rsidP="000C3D58">
            <w:pPr>
              <w:numPr>
                <w:ilvl w:val="0"/>
                <w:numId w:val="8"/>
              </w:numPr>
              <w:spacing w:after="160" w:line="256" w:lineRule="auto"/>
              <w:contextualSpacing/>
              <w:jc w:val="both"/>
              <w:rPr>
                <w:rFonts w:ascii="Calibri" w:eastAsia="Calibri" w:hAnsi="Calibri"/>
                <w:sz w:val="22"/>
                <w:szCs w:val="22"/>
                <w:lang w:eastAsia="en-US"/>
              </w:rPr>
            </w:pPr>
            <w:r w:rsidRPr="000C3D58">
              <w:rPr>
                <w:rFonts w:ascii="Calibri" w:eastAsia="Calibri" w:hAnsi="Calibri"/>
                <w:sz w:val="22"/>
                <w:szCs w:val="22"/>
                <w:lang w:eastAsia="en-US"/>
              </w:rPr>
              <w:t>forenkling af de eksisterende regler, og ikke det modsatte, så man ikke pålægger fiskerierhvervet unødige regler og byrder, som er svære både at håndhæve og efterleve.</w:t>
            </w:r>
          </w:p>
          <w:p w14:paraId="1A2B40AB" w14:textId="77777777" w:rsidR="000C3D58" w:rsidRPr="000C3D58" w:rsidRDefault="000C3D58" w:rsidP="000C3D58">
            <w:pPr>
              <w:numPr>
                <w:ilvl w:val="0"/>
                <w:numId w:val="8"/>
              </w:numPr>
              <w:spacing w:after="160" w:line="256" w:lineRule="auto"/>
              <w:contextualSpacing/>
              <w:jc w:val="both"/>
              <w:rPr>
                <w:rFonts w:ascii="Calibri" w:eastAsia="Calibri" w:hAnsi="Calibri"/>
                <w:sz w:val="22"/>
                <w:szCs w:val="22"/>
                <w:lang w:eastAsia="en-US"/>
              </w:rPr>
            </w:pPr>
            <w:r w:rsidRPr="000C3D58">
              <w:rPr>
                <w:rFonts w:ascii="Calibri" w:eastAsia="Calibri" w:hAnsi="Calibri"/>
                <w:sz w:val="22"/>
                <w:szCs w:val="22"/>
                <w:lang w:eastAsia="en-US"/>
              </w:rPr>
              <w:t>at sikre en omkostningseffektiv kontrolforvaltning på fiskeriområdet, som ikke pålægger fiskerne unødige byrder.</w:t>
            </w:r>
          </w:p>
          <w:p w14:paraId="495273DF" w14:textId="1412A9E0" w:rsidR="0059048C" w:rsidRDefault="0059048C" w:rsidP="00612A11">
            <w:pPr>
              <w:spacing w:after="160" w:line="259" w:lineRule="auto"/>
              <w:rPr>
                <w:rFonts w:ascii="Calibri" w:eastAsia="Calibri" w:hAnsi="Calibri"/>
                <w:b/>
                <w:bCs/>
                <w:sz w:val="22"/>
                <w:szCs w:val="26"/>
                <w:lang w:eastAsia="en-US"/>
              </w:rPr>
            </w:pPr>
          </w:p>
          <w:p w14:paraId="2B0BB624" w14:textId="4345EEDE" w:rsidR="000C3D58" w:rsidRDefault="000C3D58" w:rsidP="00612A11">
            <w:pPr>
              <w:spacing w:after="160" w:line="259" w:lineRule="auto"/>
              <w:rPr>
                <w:rFonts w:ascii="Calibri" w:eastAsia="Calibri" w:hAnsi="Calibri"/>
                <w:b/>
                <w:bCs/>
                <w:sz w:val="22"/>
                <w:szCs w:val="26"/>
                <w:lang w:eastAsia="en-US"/>
              </w:rPr>
            </w:pPr>
            <w:r>
              <w:rPr>
                <w:rFonts w:ascii="Calibri" w:eastAsia="Calibri" w:hAnsi="Calibri"/>
                <w:b/>
                <w:bCs/>
                <w:sz w:val="22"/>
                <w:szCs w:val="26"/>
                <w:lang w:eastAsia="en-US"/>
              </w:rPr>
              <w:t>Formandskabskompromiser</w:t>
            </w:r>
          </w:p>
          <w:p w14:paraId="1F0460E2" w14:textId="1758FF9E" w:rsidR="0059048C" w:rsidRPr="000C3D58" w:rsidRDefault="000C3D58" w:rsidP="00612A11">
            <w:pPr>
              <w:spacing w:after="160" w:line="259" w:lineRule="auto"/>
              <w:rPr>
                <w:rFonts w:ascii="Calibri" w:eastAsia="Calibri" w:hAnsi="Calibri"/>
                <w:sz w:val="22"/>
                <w:szCs w:val="26"/>
                <w:lang w:eastAsia="en-US"/>
              </w:rPr>
            </w:pPr>
            <w:r>
              <w:rPr>
                <w:rFonts w:ascii="Calibri" w:eastAsia="Calibri" w:hAnsi="Calibri"/>
                <w:sz w:val="22"/>
                <w:szCs w:val="26"/>
                <w:lang w:eastAsia="en-US"/>
              </w:rPr>
              <w:t>Siden Kommissionens fremlagde sit forslag til en revision af kontrolforordningen, har man i rådet arbejdet på at nå til enighed om en fælles henstilling på store dele af forslaget, til brug for de videre forhandlinger med Europa-Parlamentet.</w:t>
            </w:r>
          </w:p>
          <w:p w14:paraId="1AF14049" w14:textId="03D18A19" w:rsidR="0059048C" w:rsidRPr="000C3D58" w:rsidRDefault="000C3D58" w:rsidP="00612A11">
            <w:pPr>
              <w:spacing w:after="160" w:line="259" w:lineRule="auto"/>
              <w:rPr>
                <w:rFonts w:ascii="Calibri" w:eastAsia="Calibri" w:hAnsi="Calibri"/>
                <w:sz w:val="22"/>
                <w:szCs w:val="26"/>
                <w:lang w:eastAsia="en-US"/>
              </w:rPr>
            </w:pPr>
            <w:r>
              <w:rPr>
                <w:rFonts w:ascii="Calibri" w:eastAsia="Calibri" w:hAnsi="Calibri"/>
                <w:sz w:val="22"/>
                <w:szCs w:val="26"/>
                <w:lang w:eastAsia="en-US"/>
              </w:rPr>
              <w:t>Nedenfor er angivet Danmarks Fiskeriforening PO og Danmarks Pelagiske Producentorganisation fælles bemærkninger til det samlede kompromisforslag, som foreligger nu</w:t>
            </w:r>
            <w:r w:rsidR="006F4C45">
              <w:rPr>
                <w:rFonts w:ascii="Calibri" w:eastAsia="Calibri" w:hAnsi="Calibri"/>
                <w:sz w:val="22"/>
                <w:szCs w:val="26"/>
                <w:lang w:eastAsia="en-US"/>
              </w:rPr>
              <w:t>.</w:t>
            </w:r>
          </w:p>
          <w:p w14:paraId="50886DB0" w14:textId="6784DE15" w:rsidR="006F4C45" w:rsidRPr="006F4C45" w:rsidRDefault="006F4C45" w:rsidP="006F4C45">
            <w:pPr>
              <w:rPr>
                <w:rFonts w:ascii="Calibri" w:eastAsia="Calibri" w:hAnsi="Calibri" w:cs="Calibri"/>
                <w:sz w:val="22"/>
                <w:szCs w:val="22"/>
                <w:lang w:eastAsia="en-US"/>
              </w:rPr>
            </w:pPr>
            <w:r>
              <w:rPr>
                <w:rFonts w:ascii="Calibri" w:eastAsia="Calibri" w:hAnsi="Calibri"/>
                <w:b/>
                <w:bCs/>
                <w:sz w:val="22"/>
                <w:szCs w:val="26"/>
                <w:lang w:eastAsia="en-US"/>
              </w:rPr>
              <w:br/>
            </w:r>
            <w:r w:rsidR="0075589B" w:rsidRPr="006F4C45">
              <w:rPr>
                <w:rFonts w:ascii="Calibri" w:eastAsia="Calibri" w:hAnsi="Calibri"/>
                <w:i/>
                <w:iCs/>
                <w:sz w:val="22"/>
                <w:szCs w:val="26"/>
                <w:lang w:eastAsia="en-US"/>
              </w:rPr>
              <w:t>Definitioner</w:t>
            </w:r>
            <w:r w:rsidR="00612A11">
              <w:rPr>
                <w:rFonts w:ascii="Calibri" w:eastAsia="Calibri" w:hAnsi="Calibri"/>
                <w:b/>
                <w:bCs/>
                <w:sz w:val="22"/>
                <w:szCs w:val="26"/>
                <w:lang w:eastAsia="en-US"/>
              </w:rPr>
              <w:br/>
            </w:r>
            <w:r w:rsidRPr="006F4C45">
              <w:rPr>
                <w:rFonts w:ascii="Calibri" w:eastAsia="Calibri" w:hAnsi="Calibri" w:cs="Calibri"/>
                <w:sz w:val="22"/>
                <w:szCs w:val="22"/>
                <w:lang w:eastAsia="en-US"/>
              </w:rPr>
              <w:t xml:space="preserve">At introducere en særlig </w:t>
            </w:r>
            <w:r w:rsidR="00024A1B" w:rsidRPr="006F4C45">
              <w:rPr>
                <w:rFonts w:ascii="Calibri" w:eastAsia="Calibri" w:hAnsi="Calibri" w:cs="Calibri"/>
                <w:sz w:val="22"/>
                <w:szCs w:val="22"/>
                <w:lang w:eastAsia="en-US"/>
              </w:rPr>
              <w:t>definition</w:t>
            </w:r>
            <w:r w:rsidRPr="006F4C45">
              <w:rPr>
                <w:rFonts w:ascii="Calibri" w:eastAsia="Calibri" w:hAnsi="Calibri" w:cs="Calibri"/>
                <w:sz w:val="22"/>
                <w:szCs w:val="22"/>
                <w:lang w:eastAsia="en-US"/>
              </w:rPr>
              <w:t xml:space="preserve"> for ”fishing vessel”, som kun gælder i kontrolsammenhæng</w:t>
            </w:r>
            <w:r>
              <w:rPr>
                <w:rFonts w:ascii="Calibri" w:eastAsia="Calibri" w:hAnsi="Calibri" w:cs="Calibri"/>
                <w:sz w:val="22"/>
                <w:szCs w:val="22"/>
                <w:lang w:eastAsia="en-US"/>
              </w:rPr>
              <w:t xml:space="preserve"> er meget problematisk</w:t>
            </w:r>
            <w:r w:rsidRPr="006F4C45">
              <w:rPr>
                <w:rFonts w:ascii="Calibri" w:eastAsia="Calibri" w:hAnsi="Calibri" w:cs="Calibri"/>
                <w:sz w:val="22"/>
                <w:szCs w:val="22"/>
                <w:lang w:eastAsia="en-US"/>
              </w:rPr>
              <w:t>, al den stund, at kontrolforordningen og andre centrale forordninger skal kunne læses i sammenhæng, uden at brugerne skal sikre sig, at der ikke også gælder andre definitioner i andre sammenhænge</w:t>
            </w:r>
            <w:r>
              <w:rPr>
                <w:rFonts w:ascii="Calibri" w:eastAsia="Calibri" w:hAnsi="Calibri" w:cs="Calibri"/>
                <w:sz w:val="22"/>
                <w:szCs w:val="22"/>
                <w:lang w:eastAsia="en-US"/>
              </w:rPr>
              <w:t xml:space="preserve">. </w:t>
            </w:r>
            <w:r w:rsidRPr="006F4C45">
              <w:rPr>
                <w:rFonts w:ascii="Calibri" w:eastAsia="Calibri" w:hAnsi="Calibri" w:cs="Calibri"/>
                <w:sz w:val="22"/>
                <w:szCs w:val="22"/>
                <w:lang w:eastAsia="en-US"/>
              </w:rPr>
              <w:t>En af grundpillerne i revisionen af kontrolforordningen har været at forenkle reglerne</w:t>
            </w:r>
            <w:r w:rsidR="00A540E4">
              <w:rPr>
                <w:rFonts w:ascii="Calibri" w:eastAsia="Calibri" w:hAnsi="Calibri" w:cs="Calibri"/>
                <w:sz w:val="22"/>
                <w:szCs w:val="22"/>
                <w:lang w:eastAsia="en-US"/>
              </w:rPr>
              <w:t>, man bør derfor undlade at introducere nye definitioner, som allerede er anført i andre forordninger.</w:t>
            </w:r>
            <w:r>
              <w:rPr>
                <w:rFonts w:ascii="Calibri" w:eastAsia="Calibri" w:hAnsi="Calibri" w:cs="Calibri"/>
                <w:sz w:val="22"/>
                <w:szCs w:val="22"/>
                <w:lang w:eastAsia="en-US"/>
              </w:rPr>
              <w:t xml:space="preserve"> </w:t>
            </w:r>
          </w:p>
          <w:p w14:paraId="355A76AB" w14:textId="61172C6C" w:rsidR="00A540E4" w:rsidRPr="00A540E4" w:rsidRDefault="00A540E4" w:rsidP="00A540E4">
            <w:pPr>
              <w:rPr>
                <w:rFonts w:ascii="Calibri" w:eastAsia="Calibri" w:hAnsi="Calibri"/>
                <w:sz w:val="22"/>
                <w:szCs w:val="22"/>
                <w:lang w:eastAsia="en-US"/>
              </w:rPr>
            </w:pPr>
            <w:r>
              <w:rPr>
                <w:rFonts w:ascii="Calibri" w:eastAsia="Calibri" w:hAnsi="Calibri" w:cs="Calibri"/>
                <w:i/>
                <w:iCs/>
                <w:sz w:val="22"/>
                <w:szCs w:val="22"/>
                <w:lang w:eastAsia="en-US"/>
              </w:rPr>
              <w:br/>
            </w:r>
            <w:r w:rsidR="006F4C45" w:rsidRPr="006F4C45">
              <w:rPr>
                <w:rFonts w:ascii="Calibri" w:eastAsia="Calibri" w:hAnsi="Calibri" w:cs="Calibri"/>
                <w:i/>
                <w:iCs/>
                <w:sz w:val="22"/>
                <w:szCs w:val="22"/>
                <w:lang w:eastAsia="en-US"/>
              </w:rPr>
              <w:t>Undtagelse for mindre fartøjer</w:t>
            </w:r>
            <w:r w:rsidR="006F4C45">
              <w:rPr>
                <w:rFonts w:ascii="Calibri" w:eastAsia="Calibri" w:hAnsi="Calibri" w:cs="Calibri"/>
                <w:b/>
                <w:bCs/>
                <w:sz w:val="22"/>
                <w:szCs w:val="22"/>
                <w:lang w:eastAsia="en-US"/>
              </w:rPr>
              <w:br/>
            </w:r>
            <w:r>
              <w:rPr>
                <w:rFonts w:ascii="Calibri" w:eastAsia="Calibri" w:hAnsi="Calibri"/>
                <w:sz w:val="22"/>
                <w:szCs w:val="22"/>
                <w:lang w:eastAsia="en-US"/>
              </w:rPr>
              <w:t>E</w:t>
            </w:r>
            <w:r w:rsidRPr="00A540E4">
              <w:rPr>
                <w:rFonts w:ascii="Calibri" w:eastAsia="Calibri" w:hAnsi="Calibri"/>
                <w:sz w:val="22"/>
                <w:szCs w:val="22"/>
                <w:lang w:eastAsia="en-US"/>
              </w:rPr>
              <w:t xml:space="preserve">rhvervet </w:t>
            </w:r>
            <w:r>
              <w:rPr>
                <w:rFonts w:ascii="Calibri" w:eastAsia="Calibri" w:hAnsi="Calibri"/>
                <w:sz w:val="22"/>
                <w:szCs w:val="22"/>
                <w:lang w:eastAsia="en-US"/>
              </w:rPr>
              <w:t>finder det</w:t>
            </w:r>
            <w:r w:rsidRPr="00A540E4">
              <w:rPr>
                <w:rFonts w:ascii="Calibri" w:eastAsia="Calibri" w:hAnsi="Calibri"/>
                <w:sz w:val="22"/>
                <w:szCs w:val="22"/>
                <w:lang w:eastAsia="en-US"/>
              </w:rPr>
              <w:t xml:space="preserve"> positivt, at man i udgangspunktet vil lempe reglerne for små fartøjer, og giver mulighed for at faste installationer kan erstattes med andre løsninger.</w:t>
            </w:r>
            <w:r>
              <w:rPr>
                <w:rFonts w:ascii="Calibri" w:eastAsia="Calibri" w:hAnsi="Calibri"/>
                <w:sz w:val="22"/>
                <w:szCs w:val="22"/>
                <w:lang w:eastAsia="en-US"/>
              </w:rPr>
              <w:t xml:space="preserve"> </w:t>
            </w:r>
            <w:r w:rsidRPr="00A540E4">
              <w:rPr>
                <w:rFonts w:ascii="Calibri" w:eastAsia="Calibri" w:hAnsi="Calibri"/>
                <w:sz w:val="22"/>
                <w:szCs w:val="22"/>
                <w:lang w:eastAsia="en-US"/>
              </w:rPr>
              <w:t>Erhvervet noterer sig også, at det vil være muligt at finansiere de påkrævede elektroniske installationer gennem EHFF.</w:t>
            </w:r>
          </w:p>
          <w:p w14:paraId="6A874753" w14:textId="77777777" w:rsidR="00A540E4" w:rsidRP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Erhvervet havde dog foretrukket, at der gives mulighed for helt at undtage de mindste fartøjer, jf. tidligere fremsendte bemærkninger.</w:t>
            </w:r>
          </w:p>
          <w:p w14:paraId="62C826BF" w14:textId="77777777" w:rsidR="00A540E4" w:rsidRP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Det er dog positivt, at man fra formandskabets side foreslår en overgangsperiode for de mindste fartøjer under 10 meter på 48 måneder fra forordningen ikrafttræden.</w:t>
            </w:r>
          </w:p>
          <w:p w14:paraId="531E9664" w14:textId="4AAC1182" w:rsidR="00A540E4" w:rsidRP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I forhold til elektroniske logbøger og landingserklæringer, er det vigtigt at sikre sig, at de foreslåede løsninger fungerer i praksis – det skal være muligt at genere</w:t>
            </w:r>
            <w:r>
              <w:rPr>
                <w:rFonts w:ascii="Calibri" w:eastAsia="Calibri" w:hAnsi="Calibri"/>
                <w:sz w:val="22"/>
                <w:szCs w:val="22"/>
                <w:lang w:eastAsia="en-US"/>
              </w:rPr>
              <w:t>re</w:t>
            </w:r>
            <w:r w:rsidRPr="00A540E4">
              <w:rPr>
                <w:rFonts w:ascii="Calibri" w:eastAsia="Calibri" w:hAnsi="Calibri"/>
                <w:sz w:val="22"/>
                <w:szCs w:val="22"/>
                <w:lang w:eastAsia="en-US"/>
              </w:rPr>
              <w:t xml:space="preserve"> og fremsende alle påkrævede oplysninger om fangster m.m. elektronisk og automatisk, så man undgår, at fiskerne skal indtaste de samme oplysninger i flere forskellige systemer – som tilfældet er i dag, hvor systemerne ikke fungerer optimalt.</w:t>
            </w:r>
          </w:p>
          <w:p w14:paraId="7435B9AB" w14:textId="517978D5" w:rsidR="00A540E4" w:rsidRPr="00A540E4" w:rsidRDefault="006F4C45" w:rsidP="00A540E4">
            <w:pPr>
              <w:rPr>
                <w:rFonts w:ascii="Calibri" w:hAnsi="Calibri"/>
                <w:sz w:val="22"/>
                <w:szCs w:val="22"/>
                <w:lang w:eastAsia="en-US"/>
              </w:rPr>
            </w:pPr>
            <w:r w:rsidRPr="006F4C45">
              <w:rPr>
                <w:rFonts w:ascii="Calibri" w:eastAsia="Calibri" w:hAnsi="Calibri" w:cs="Calibri"/>
                <w:i/>
                <w:iCs/>
                <w:sz w:val="22"/>
                <w:szCs w:val="22"/>
                <w:lang w:eastAsia="en-US"/>
              </w:rPr>
              <w:t>REM og Kam</w:t>
            </w:r>
            <w:r w:rsidR="00024A1B">
              <w:rPr>
                <w:rFonts w:ascii="Calibri" w:eastAsia="Calibri" w:hAnsi="Calibri" w:cs="Calibri"/>
                <w:i/>
                <w:iCs/>
                <w:sz w:val="22"/>
                <w:szCs w:val="22"/>
                <w:lang w:eastAsia="en-US"/>
              </w:rPr>
              <w:t>e</w:t>
            </w:r>
            <w:r w:rsidRPr="006F4C45">
              <w:rPr>
                <w:rFonts w:ascii="Calibri" w:eastAsia="Calibri" w:hAnsi="Calibri" w:cs="Calibri"/>
                <w:i/>
                <w:iCs/>
                <w:sz w:val="22"/>
                <w:szCs w:val="22"/>
                <w:lang w:eastAsia="en-US"/>
              </w:rPr>
              <w:t>raovervågning</w:t>
            </w:r>
            <w:r w:rsidR="00A540E4">
              <w:rPr>
                <w:rFonts w:ascii="Calibri" w:eastAsia="Calibri" w:hAnsi="Calibri" w:cs="Calibri"/>
                <w:i/>
                <w:iCs/>
                <w:sz w:val="22"/>
                <w:szCs w:val="22"/>
                <w:lang w:eastAsia="en-US"/>
              </w:rPr>
              <w:br/>
            </w:r>
            <w:r w:rsidR="00A540E4" w:rsidRPr="00A540E4">
              <w:rPr>
                <w:rFonts w:ascii="Calibri" w:hAnsi="Calibri"/>
                <w:sz w:val="22"/>
                <w:szCs w:val="22"/>
                <w:lang w:eastAsia="en-US"/>
              </w:rPr>
              <w:t>Danmarks Fiskeriforening kan ikke tilslutte sig en skærpelse af bestemmelserne vedr. REM. Kommissionen bør generelt ikke have beføjelser til at via gennemførelsesbestemmelser og delegerede retsakter at pålægge såvel medlemsstater og erhvervet øgede byrder.</w:t>
            </w:r>
          </w:p>
          <w:p w14:paraId="2131D3A9" w14:textId="2B657B2E" w:rsidR="00A540E4" w:rsidRPr="00A540E4" w:rsidRDefault="00A540E4" w:rsidP="00A540E4">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br/>
            </w:r>
            <w:r w:rsidRPr="00A540E4">
              <w:rPr>
                <w:rFonts w:ascii="Calibri" w:eastAsia="Calibri" w:hAnsi="Calibri"/>
                <w:sz w:val="22"/>
                <w:szCs w:val="22"/>
                <w:lang w:eastAsia="en-US"/>
              </w:rPr>
              <w:t>Formandskabet foreslår, at der indføres kameraovervågning af visse fartøjer over 24 meter på baggrund af en fælles risikovurdering, som Kommissionen skal udarbejde.</w:t>
            </w:r>
          </w:p>
          <w:p w14:paraId="0F91B5E4" w14:textId="3C6BFC5F" w:rsidR="00A540E4" w:rsidRP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Derudover vil man give medlemsstaterne mulighed for at indføre nationale regler for brug af kameraovervågning for fartøjer under 24 meter med baggrund i egne risikovurderinger.</w:t>
            </w:r>
            <w:r w:rsidR="00B929A1">
              <w:rPr>
                <w:rFonts w:ascii="Calibri" w:eastAsia="Calibri" w:hAnsi="Calibri"/>
                <w:sz w:val="22"/>
                <w:szCs w:val="22"/>
                <w:lang w:eastAsia="en-US"/>
              </w:rPr>
              <w:t xml:space="preserve"> </w:t>
            </w:r>
          </w:p>
          <w:p w14:paraId="63FBA7D8" w14:textId="15BDA547" w:rsid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Denne sondring mellem fælles regler og nationale regler er meget bekymrende. Uanset, hvad man må mene om brug af kameraovervågning, vil en sådan mulighed bryde med princippet om level playing field og føre til uensartet implementering på et helt centralt kontrolområde.</w:t>
            </w:r>
          </w:p>
          <w:p w14:paraId="277A4353" w14:textId="6A6DAD0B" w:rsidR="00B929A1" w:rsidRPr="00A540E4" w:rsidRDefault="00B929A1" w:rsidP="00A540E4">
            <w:pPr>
              <w:spacing w:after="160" w:line="259" w:lineRule="auto"/>
              <w:rPr>
                <w:rFonts w:ascii="Calibri" w:eastAsia="Calibri" w:hAnsi="Calibri"/>
                <w:sz w:val="22"/>
                <w:szCs w:val="22"/>
                <w:lang w:eastAsia="en-US"/>
              </w:rPr>
            </w:pPr>
            <w:r w:rsidRPr="00B929A1">
              <w:rPr>
                <w:rFonts w:ascii="Calibri" w:eastAsia="Calibri" w:hAnsi="Calibri"/>
                <w:sz w:val="22"/>
                <w:szCs w:val="22"/>
                <w:lang w:eastAsia="en-US"/>
              </w:rPr>
              <w:t>Et medlemsland</w:t>
            </w:r>
            <w:r>
              <w:rPr>
                <w:rFonts w:ascii="Calibri" w:eastAsia="Calibri" w:hAnsi="Calibri"/>
                <w:sz w:val="22"/>
                <w:szCs w:val="22"/>
                <w:lang w:eastAsia="en-US"/>
              </w:rPr>
              <w:t xml:space="preserve">, som anvender egne risikovurderinger til at indføre nationale regler for kameraovervågning vil sende et klart signal om manglende tillid til et fiskeri gennem hele EU-Systemet. I den sammenhæng vil vi være langt fra den situation, hvor indførelse af kameraovervågning kunne indebære en modsvarende forenkling af andre kontrolbestemmelser og tekniske regler for fiskeriet.  </w:t>
            </w:r>
          </w:p>
          <w:p w14:paraId="4862F644" w14:textId="66B2416E" w:rsidR="00A540E4" w:rsidRDefault="00A540E4" w:rsidP="00A540E4">
            <w:pPr>
              <w:spacing w:after="160" w:line="259" w:lineRule="auto"/>
              <w:rPr>
                <w:rFonts w:ascii="Calibri" w:eastAsia="Calibri" w:hAnsi="Calibri"/>
                <w:sz w:val="22"/>
                <w:szCs w:val="22"/>
                <w:lang w:eastAsia="en-US"/>
              </w:rPr>
            </w:pPr>
            <w:r w:rsidRPr="00A540E4">
              <w:rPr>
                <w:rFonts w:ascii="Calibri" w:eastAsia="Calibri" w:hAnsi="Calibri"/>
                <w:sz w:val="22"/>
                <w:szCs w:val="22"/>
                <w:lang w:eastAsia="en-US"/>
              </w:rPr>
              <w:t>Erhvervet kan ikke tilslutte sig, at man på helt fundamentale områder, giver medlemsstaterne mulighed for at gå enegang. På de mest centrale områder bør man sikre sig implementering af reglerne på fællesskabsniveau</w:t>
            </w:r>
            <w:r w:rsidR="001E55CC">
              <w:rPr>
                <w:rFonts w:ascii="Calibri" w:eastAsia="Calibri" w:hAnsi="Calibri"/>
                <w:sz w:val="22"/>
                <w:szCs w:val="22"/>
                <w:lang w:eastAsia="en-US"/>
              </w:rPr>
              <w:t xml:space="preserve"> eller i en regionaliseret tilgang – ikke på medlemslandsniveau</w:t>
            </w:r>
            <w:r w:rsidRPr="00A540E4">
              <w:rPr>
                <w:rFonts w:ascii="Calibri" w:eastAsia="Calibri" w:hAnsi="Calibri"/>
                <w:sz w:val="22"/>
                <w:szCs w:val="22"/>
                <w:lang w:eastAsia="en-US"/>
              </w:rPr>
              <w:t>.</w:t>
            </w:r>
          </w:p>
          <w:p w14:paraId="4D42A406" w14:textId="3B8F3358" w:rsidR="00A540E4" w:rsidRPr="00A540E4" w:rsidRDefault="00A540E4" w:rsidP="00A540E4">
            <w:pPr>
              <w:rPr>
                <w:rFonts w:ascii="Calibri" w:eastAsia="Calibri" w:hAnsi="Calibri" w:cs="Calibri"/>
                <w:sz w:val="22"/>
                <w:szCs w:val="22"/>
                <w:lang w:eastAsia="en-US"/>
              </w:rPr>
            </w:pPr>
            <w:r w:rsidRPr="00A540E4">
              <w:rPr>
                <w:rFonts w:ascii="Calibri" w:eastAsia="Calibri" w:hAnsi="Calibri" w:cs="Calibri"/>
                <w:sz w:val="22"/>
                <w:szCs w:val="22"/>
                <w:lang w:eastAsia="en-US"/>
              </w:rPr>
              <w:t xml:space="preserve">Behovet for en regionaliseret tilgang til Den Fælles Fiskeripolitik generelt, har været efterspurgt af erhvervet gennem flere år. Det forhold, at kontrolforanstaltninger i et havområde ikke nødvendigvis skal implementeres i andre, er absolut et godt princip, </w:t>
            </w:r>
            <w:r w:rsidR="001E55CC">
              <w:rPr>
                <w:rFonts w:ascii="Calibri" w:eastAsia="Calibri" w:hAnsi="Calibri" w:cs="Calibri"/>
                <w:sz w:val="22"/>
                <w:szCs w:val="22"/>
                <w:lang w:eastAsia="en-US"/>
              </w:rPr>
              <w:t xml:space="preserve">som kan sikre </w:t>
            </w:r>
            <w:r w:rsidR="00256FD2">
              <w:rPr>
                <w:rFonts w:ascii="Calibri" w:eastAsia="Calibri" w:hAnsi="Calibri" w:cs="Calibri"/>
                <w:sz w:val="22"/>
                <w:szCs w:val="22"/>
                <w:lang w:eastAsia="en-US"/>
              </w:rPr>
              <w:t>”</w:t>
            </w:r>
            <w:r w:rsidR="001E55CC">
              <w:rPr>
                <w:rFonts w:ascii="Calibri" w:eastAsia="Calibri" w:hAnsi="Calibri" w:cs="Calibri"/>
                <w:sz w:val="22"/>
                <w:szCs w:val="22"/>
                <w:lang w:eastAsia="en-US"/>
              </w:rPr>
              <w:t>level playing field</w:t>
            </w:r>
            <w:r w:rsidR="00256FD2">
              <w:rPr>
                <w:rFonts w:ascii="Calibri" w:eastAsia="Calibri" w:hAnsi="Calibri" w:cs="Calibri"/>
                <w:sz w:val="22"/>
                <w:szCs w:val="22"/>
                <w:lang w:eastAsia="en-US"/>
              </w:rPr>
              <w:t>”.</w:t>
            </w:r>
          </w:p>
          <w:p w14:paraId="033A9118" w14:textId="77777777" w:rsidR="00A540E4" w:rsidRDefault="00A540E4" w:rsidP="003F548D">
            <w:pPr>
              <w:spacing w:after="160" w:line="259" w:lineRule="auto"/>
              <w:rPr>
                <w:rFonts w:ascii="Calibri" w:eastAsia="Calibri" w:hAnsi="Calibri"/>
                <w:b/>
                <w:bCs/>
                <w:sz w:val="22"/>
                <w:szCs w:val="26"/>
                <w:lang w:eastAsia="en-US"/>
              </w:rPr>
            </w:pPr>
          </w:p>
          <w:p w14:paraId="17C683A1" w14:textId="769A0329" w:rsidR="00024A1B" w:rsidRDefault="00024A1B"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i/>
                <w:iCs/>
                <w:sz w:val="22"/>
                <w:szCs w:val="22"/>
                <w:lang w:eastAsia="en-US"/>
              </w:rPr>
              <w:t>U</w:t>
            </w:r>
            <w:r w:rsidR="00D7005D" w:rsidRPr="00024A1B">
              <w:rPr>
                <w:rFonts w:ascii="Calibri" w:eastAsia="Calibri" w:hAnsi="Calibri" w:cs="Calibri"/>
                <w:i/>
                <w:iCs/>
                <w:sz w:val="22"/>
                <w:szCs w:val="22"/>
                <w:lang w:eastAsia="en-US"/>
              </w:rPr>
              <w:t>dfyldelse af logbog</w:t>
            </w:r>
            <w:r w:rsidR="00D7005D">
              <w:rPr>
                <w:rFonts w:ascii="Calibri" w:eastAsia="Calibri" w:hAnsi="Calibri" w:cs="Calibri"/>
                <w:b/>
                <w:bCs/>
                <w:sz w:val="22"/>
                <w:szCs w:val="22"/>
                <w:lang w:eastAsia="en-US"/>
              </w:rPr>
              <w:br/>
            </w:r>
            <w:r w:rsidR="00D7005D">
              <w:rPr>
                <w:rFonts w:ascii="Calibri" w:eastAsia="Calibri" w:hAnsi="Calibri" w:cs="Calibri"/>
                <w:sz w:val="22"/>
                <w:szCs w:val="22"/>
                <w:lang w:eastAsia="en-US"/>
              </w:rPr>
              <w:t xml:space="preserve">Det er vigtigt for erhvervet, </w:t>
            </w:r>
            <w:r w:rsidR="00BF4594">
              <w:rPr>
                <w:rFonts w:ascii="Calibri" w:eastAsia="Calibri" w:hAnsi="Calibri" w:cs="Calibri"/>
                <w:sz w:val="22"/>
                <w:szCs w:val="22"/>
                <w:lang w:eastAsia="en-US"/>
              </w:rPr>
              <w:t xml:space="preserve">at fra myndighedernes side, </w:t>
            </w:r>
            <w:r w:rsidR="00D7005D">
              <w:rPr>
                <w:rFonts w:ascii="Calibri" w:eastAsia="Calibri" w:hAnsi="Calibri" w:cs="Calibri"/>
                <w:sz w:val="22"/>
                <w:szCs w:val="22"/>
                <w:lang w:eastAsia="en-US"/>
              </w:rPr>
              <w:t xml:space="preserve">bruger de </w:t>
            </w:r>
            <w:r w:rsidR="00BF4594">
              <w:rPr>
                <w:rFonts w:ascii="Calibri" w:eastAsia="Calibri" w:hAnsi="Calibri" w:cs="Calibri"/>
                <w:sz w:val="22"/>
                <w:szCs w:val="22"/>
                <w:lang w:eastAsia="en-US"/>
              </w:rPr>
              <w:t>nødvendige</w:t>
            </w:r>
            <w:r w:rsidR="00D7005D">
              <w:rPr>
                <w:rFonts w:ascii="Calibri" w:eastAsia="Calibri" w:hAnsi="Calibri" w:cs="Calibri"/>
                <w:sz w:val="22"/>
                <w:szCs w:val="22"/>
                <w:lang w:eastAsia="en-US"/>
              </w:rPr>
              <w:t xml:space="preserve"> kræfter på at sikre en løsning </w:t>
            </w:r>
            <w:r w:rsidR="000D2238">
              <w:rPr>
                <w:rFonts w:ascii="Calibri" w:eastAsia="Calibri" w:hAnsi="Calibri" w:cs="Calibri"/>
                <w:sz w:val="22"/>
                <w:szCs w:val="22"/>
                <w:lang w:eastAsia="en-US"/>
              </w:rPr>
              <w:t>for så vidt</w:t>
            </w:r>
            <w:r w:rsidR="00D7005D">
              <w:rPr>
                <w:rFonts w:ascii="Calibri" w:eastAsia="Calibri" w:hAnsi="Calibri" w:cs="Calibri"/>
                <w:sz w:val="22"/>
                <w:szCs w:val="22"/>
                <w:lang w:eastAsia="en-US"/>
              </w:rPr>
              <w:t xml:space="preserve"> angår problemstillingen vedr. usorterede landinger (bulk</w:t>
            </w:r>
            <w:r>
              <w:rPr>
                <w:rFonts w:ascii="Calibri" w:eastAsia="Calibri" w:hAnsi="Calibri" w:cs="Calibri"/>
                <w:sz w:val="22"/>
                <w:szCs w:val="22"/>
                <w:lang w:eastAsia="en-US"/>
              </w:rPr>
              <w:t>),</w:t>
            </w:r>
            <w:r w:rsidR="00A540E4">
              <w:rPr>
                <w:rFonts w:ascii="Calibri" w:eastAsia="Calibri" w:hAnsi="Calibri" w:cs="Calibri"/>
                <w:sz w:val="22"/>
                <w:szCs w:val="22"/>
                <w:lang w:eastAsia="en-US"/>
              </w:rPr>
              <w:t xml:space="preserve"> som man fra dansk side har arbejdet på at finde en løsning</w:t>
            </w:r>
            <w:r>
              <w:rPr>
                <w:rFonts w:ascii="Calibri" w:eastAsia="Calibri" w:hAnsi="Calibri" w:cs="Calibri"/>
                <w:sz w:val="22"/>
                <w:szCs w:val="22"/>
                <w:lang w:eastAsia="en-US"/>
              </w:rPr>
              <w:t xml:space="preserve"> på</w:t>
            </w:r>
            <w:r w:rsidR="00A540E4">
              <w:rPr>
                <w:rFonts w:ascii="Calibri" w:eastAsia="Calibri" w:hAnsi="Calibri" w:cs="Calibri"/>
                <w:sz w:val="22"/>
                <w:szCs w:val="22"/>
                <w:lang w:eastAsia="en-US"/>
              </w:rPr>
              <w:t xml:space="preserve"> i flere år.</w:t>
            </w:r>
          </w:p>
          <w:p w14:paraId="257CCFE8" w14:textId="6F95C615" w:rsidR="00D7005D" w:rsidRDefault="00D7005D"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De danske myndigheder har sammen med erhvervet gjort et stort </w:t>
            </w:r>
            <w:r w:rsidR="00A540E4">
              <w:rPr>
                <w:rFonts w:ascii="Calibri" w:eastAsia="Calibri" w:hAnsi="Calibri" w:cs="Calibri"/>
                <w:sz w:val="22"/>
                <w:szCs w:val="22"/>
                <w:lang w:eastAsia="en-US"/>
              </w:rPr>
              <w:t xml:space="preserve">stykke </w:t>
            </w:r>
            <w:r>
              <w:rPr>
                <w:rFonts w:ascii="Calibri" w:eastAsia="Calibri" w:hAnsi="Calibri" w:cs="Calibri"/>
                <w:sz w:val="22"/>
                <w:szCs w:val="22"/>
                <w:lang w:eastAsia="en-US"/>
              </w:rPr>
              <w:t>arbejde for at gøre opmærksom på problemet i Kommissionen, i rådet og i Europa-Parlamentet.</w:t>
            </w:r>
          </w:p>
          <w:p w14:paraId="5FDCF5EF" w14:textId="6430C51A" w:rsidR="00A540E4" w:rsidRDefault="00A540E4"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sz w:val="22"/>
                <w:szCs w:val="22"/>
                <w:lang w:eastAsia="en-US"/>
              </w:rPr>
              <w:t>Et arbejde, som nu endelig ser ud til at bære frugt.</w:t>
            </w:r>
          </w:p>
          <w:p w14:paraId="34CA7202" w14:textId="5C65B658" w:rsidR="000D2238" w:rsidRDefault="000D2238"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sz w:val="22"/>
                <w:szCs w:val="22"/>
                <w:lang w:eastAsia="en-US"/>
              </w:rPr>
              <w:t>Erhvervets holdning er, at den kompromistekst, som formandskabet har fremsat løser problemet med opgørelse af bifangster i usorterede landinger.</w:t>
            </w:r>
          </w:p>
          <w:p w14:paraId="14A56A01" w14:textId="0C946A12" w:rsidR="00024A1B" w:rsidRDefault="00A540E4"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Men, helt generelt er tiden inde </w:t>
            </w:r>
            <w:r w:rsidR="00024A1B">
              <w:rPr>
                <w:rFonts w:ascii="Calibri" w:eastAsia="Calibri" w:hAnsi="Calibri" w:cs="Calibri"/>
                <w:sz w:val="22"/>
                <w:szCs w:val="22"/>
                <w:lang w:eastAsia="en-US"/>
              </w:rPr>
              <w:t xml:space="preserve">til at se det i et bredere perspektiv, og gennem kontrolforordningen at </w:t>
            </w:r>
            <w:r>
              <w:rPr>
                <w:rFonts w:ascii="Calibri" w:eastAsia="Calibri" w:hAnsi="Calibri" w:cs="Calibri"/>
                <w:sz w:val="22"/>
                <w:szCs w:val="22"/>
                <w:lang w:eastAsia="en-US"/>
              </w:rPr>
              <w:t>løse de problemer, som i praksis gør det umuligt for fiskerne at efterleve reglerne.</w:t>
            </w:r>
          </w:p>
          <w:p w14:paraId="3CEFD3A8" w14:textId="0703FD8C" w:rsidR="00256FD2" w:rsidRDefault="00B929A1" w:rsidP="0075589B">
            <w:pPr>
              <w:tabs>
                <w:tab w:val="left" w:pos="317"/>
              </w:tabs>
              <w:spacing w:after="120" w:line="259" w:lineRule="auto"/>
              <w:rPr>
                <w:rFonts w:ascii="Calibri" w:eastAsia="Calibri" w:hAnsi="Calibri" w:cs="Calibri"/>
                <w:sz w:val="22"/>
                <w:szCs w:val="22"/>
                <w:lang w:eastAsia="en-US"/>
              </w:rPr>
            </w:pPr>
            <w:r>
              <w:rPr>
                <w:rFonts w:ascii="Calibri" w:eastAsia="Calibri" w:hAnsi="Calibri" w:cs="Calibri"/>
                <w:sz w:val="22"/>
                <w:szCs w:val="22"/>
                <w:lang w:eastAsia="en-US"/>
              </w:rPr>
              <w:t>Det er ligeledes vigtigt</w:t>
            </w:r>
            <w:r w:rsidR="00256FD2">
              <w:rPr>
                <w:rFonts w:ascii="Calibri" w:eastAsia="Calibri" w:hAnsi="Calibri" w:cs="Calibri"/>
                <w:sz w:val="22"/>
                <w:szCs w:val="22"/>
                <w:lang w:eastAsia="en-US"/>
              </w:rPr>
              <w:t xml:space="preserve"> at sikre, at </w:t>
            </w:r>
            <w:r>
              <w:rPr>
                <w:rFonts w:ascii="Calibri" w:eastAsia="Calibri" w:hAnsi="Calibri" w:cs="Calibri"/>
                <w:sz w:val="22"/>
                <w:szCs w:val="22"/>
                <w:lang w:eastAsia="en-US"/>
              </w:rPr>
              <w:t xml:space="preserve">for små fangstmængder under 50 kg </w:t>
            </w:r>
            <w:r w:rsidR="0022170E">
              <w:rPr>
                <w:rFonts w:ascii="Calibri" w:eastAsia="Calibri" w:hAnsi="Calibri" w:cs="Calibri"/>
                <w:sz w:val="22"/>
                <w:szCs w:val="22"/>
                <w:lang w:eastAsia="en-US"/>
              </w:rPr>
              <w:t xml:space="preserve">af en art </w:t>
            </w:r>
            <w:r>
              <w:rPr>
                <w:rFonts w:ascii="Calibri" w:eastAsia="Calibri" w:hAnsi="Calibri" w:cs="Calibri"/>
                <w:sz w:val="22"/>
                <w:szCs w:val="22"/>
                <w:lang w:eastAsia="en-US"/>
              </w:rPr>
              <w:t>i det demersale fiskeri</w:t>
            </w:r>
            <w:r w:rsidR="00256FD2">
              <w:rPr>
                <w:rFonts w:ascii="Calibri" w:eastAsia="Calibri" w:hAnsi="Calibri" w:cs="Calibri"/>
                <w:sz w:val="22"/>
                <w:szCs w:val="22"/>
                <w:lang w:eastAsia="en-US"/>
              </w:rPr>
              <w:t xml:space="preserve"> så skal man</w:t>
            </w:r>
            <w:r w:rsidR="003E4A80">
              <w:rPr>
                <w:rFonts w:ascii="Calibri" w:eastAsia="Calibri" w:hAnsi="Calibri" w:cs="Calibri"/>
                <w:sz w:val="22"/>
                <w:szCs w:val="22"/>
                <w:lang w:eastAsia="en-US"/>
              </w:rPr>
              <w:t xml:space="preserve"> fortsat</w:t>
            </w:r>
            <w:r w:rsidR="00256FD2">
              <w:rPr>
                <w:rFonts w:ascii="Calibri" w:eastAsia="Calibri" w:hAnsi="Calibri" w:cs="Calibri"/>
                <w:sz w:val="22"/>
                <w:szCs w:val="22"/>
                <w:lang w:eastAsia="en-US"/>
              </w:rPr>
              <w:t xml:space="preserve"> ikke være omfattet af en logbogs-tolerance margin på 10 pct. - </w:t>
            </w:r>
            <w:r>
              <w:rPr>
                <w:rFonts w:ascii="Calibri" w:eastAsia="Calibri" w:hAnsi="Calibri" w:cs="Calibri"/>
                <w:sz w:val="22"/>
                <w:szCs w:val="22"/>
                <w:lang w:eastAsia="en-US"/>
              </w:rPr>
              <w:t xml:space="preserve">som i dag er gældende. For </w:t>
            </w:r>
            <w:r w:rsidR="0022170E">
              <w:rPr>
                <w:rFonts w:ascii="Calibri" w:eastAsia="Calibri" w:hAnsi="Calibri" w:cs="Calibri"/>
                <w:sz w:val="22"/>
                <w:szCs w:val="22"/>
                <w:lang w:eastAsia="en-US"/>
              </w:rPr>
              <w:t xml:space="preserve">små fangstmængder </w:t>
            </w:r>
            <w:r w:rsidR="00256FD2" w:rsidRPr="00256FD2">
              <w:rPr>
                <w:rFonts w:ascii="Calibri" w:eastAsia="Calibri" w:hAnsi="Calibri" w:cs="Calibri"/>
                <w:sz w:val="22"/>
                <w:szCs w:val="22"/>
                <w:lang w:eastAsia="en-US"/>
              </w:rPr>
              <w:t xml:space="preserve">skal der ikke mange fisk til </w:t>
            </w:r>
            <w:r w:rsidR="00256FD2">
              <w:rPr>
                <w:rFonts w:ascii="Calibri" w:eastAsia="Calibri" w:hAnsi="Calibri" w:cs="Calibri"/>
                <w:sz w:val="22"/>
                <w:szCs w:val="22"/>
                <w:lang w:eastAsia="en-US"/>
              </w:rPr>
              <w:t>før det er relativt svært at overholde en tolerance-margin – og der</w:t>
            </w:r>
            <w:r w:rsidR="003E4A80">
              <w:rPr>
                <w:rFonts w:ascii="Calibri" w:eastAsia="Calibri" w:hAnsi="Calibri" w:cs="Calibri"/>
                <w:sz w:val="22"/>
                <w:szCs w:val="22"/>
                <w:lang w:eastAsia="en-US"/>
              </w:rPr>
              <w:t xml:space="preserve"> skal ikke indføres unødige bureaukratiske regler som ikke giver mening</w:t>
            </w:r>
            <w:r w:rsidR="00256FD2">
              <w:rPr>
                <w:rFonts w:ascii="Calibri" w:eastAsia="Calibri" w:hAnsi="Calibri" w:cs="Calibri"/>
                <w:sz w:val="22"/>
                <w:szCs w:val="22"/>
                <w:lang w:eastAsia="en-US"/>
              </w:rPr>
              <w:t>.</w:t>
            </w:r>
            <w:r w:rsidR="003E4A80">
              <w:rPr>
                <w:rFonts w:ascii="Calibri" w:eastAsia="Calibri" w:hAnsi="Calibri" w:cs="Calibri"/>
                <w:sz w:val="22"/>
                <w:szCs w:val="22"/>
                <w:lang w:eastAsia="en-US"/>
              </w:rPr>
              <w:t xml:space="preserve"> Fastholdelse af 50 kg</w:t>
            </w:r>
            <w:r w:rsidR="00592C2C">
              <w:rPr>
                <w:rFonts w:ascii="Calibri" w:eastAsia="Calibri" w:hAnsi="Calibri" w:cs="Calibri"/>
                <w:sz w:val="22"/>
                <w:szCs w:val="22"/>
                <w:lang w:eastAsia="en-US"/>
              </w:rPr>
              <w:t>.</w:t>
            </w:r>
            <w:r w:rsidR="003E4A80">
              <w:rPr>
                <w:rFonts w:ascii="Calibri" w:eastAsia="Calibri" w:hAnsi="Calibri" w:cs="Calibri"/>
                <w:sz w:val="22"/>
                <w:szCs w:val="22"/>
                <w:lang w:eastAsia="en-US"/>
              </w:rPr>
              <w:t xml:space="preserve"> reglen er også relevant i forhold til diskussionen om sanktionering af overtrædelser af bestemmelserne i den fælles fiskeripolitik.</w:t>
            </w:r>
            <w:r w:rsidR="00256FD2">
              <w:rPr>
                <w:rFonts w:ascii="Calibri" w:eastAsia="Calibri" w:hAnsi="Calibri" w:cs="Calibri"/>
                <w:sz w:val="22"/>
                <w:szCs w:val="22"/>
                <w:lang w:eastAsia="en-US"/>
              </w:rPr>
              <w:t xml:space="preserve"> </w:t>
            </w:r>
          </w:p>
          <w:p w14:paraId="23D8F440" w14:textId="77777777" w:rsidR="00204ADF" w:rsidRDefault="00204ADF" w:rsidP="0075589B">
            <w:pPr>
              <w:tabs>
                <w:tab w:val="left" w:pos="317"/>
              </w:tabs>
              <w:spacing w:after="120" w:line="259" w:lineRule="auto"/>
              <w:rPr>
                <w:rFonts w:ascii="Calibri" w:eastAsia="Calibri" w:hAnsi="Calibri" w:cs="Calibri"/>
                <w:i/>
                <w:iCs/>
                <w:sz w:val="22"/>
                <w:szCs w:val="22"/>
                <w:lang w:eastAsia="en-US"/>
              </w:rPr>
            </w:pPr>
          </w:p>
          <w:p w14:paraId="37B05F85" w14:textId="044D483D" w:rsidR="00204ADF" w:rsidRDefault="00592C2C" w:rsidP="0075589B">
            <w:pPr>
              <w:tabs>
                <w:tab w:val="left" w:pos="317"/>
              </w:tabs>
              <w:spacing w:after="120" w:line="259" w:lineRule="auto"/>
              <w:rPr>
                <w:rFonts w:ascii="Calibri" w:eastAsia="Calibri" w:hAnsi="Calibri" w:cs="Calibri"/>
                <w:i/>
                <w:iCs/>
                <w:sz w:val="22"/>
                <w:szCs w:val="22"/>
                <w:lang w:eastAsia="en-US"/>
              </w:rPr>
            </w:pPr>
            <w:r w:rsidRPr="00592C2C">
              <w:rPr>
                <w:rFonts w:ascii="Calibri" w:eastAsia="Calibri" w:hAnsi="Calibri" w:cs="Calibri"/>
                <w:i/>
                <w:iCs/>
                <w:sz w:val="22"/>
                <w:szCs w:val="22"/>
                <w:lang w:eastAsia="en-US"/>
              </w:rPr>
              <w:lastRenderedPageBreak/>
              <w:t xml:space="preserve">Samspil med </w:t>
            </w:r>
            <w:r>
              <w:rPr>
                <w:rFonts w:ascii="Calibri" w:eastAsia="Calibri" w:hAnsi="Calibri" w:cs="Calibri"/>
                <w:i/>
                <w:iCs/>
                <w:sz w:val="22"/>
                <w:szCs w:val="22"/>
                <w:lang w:eastAsia="en-US"/>
              </w:rPr>
              <w:t xml:space="preserve">flerårige </w:t>
            </w:r>
            <w:r w:rsidRPr="00592C2C">
              <w:rPr>
                <w:rFonts w:ascii="Calibri" w:eastAsia="Calibri" w:hAnsi="Calibri" w:cs="Calibri"/>
                <w:i/>
                <w:iCs/>
                <w:sz w:val="22"/>
                <w:szCs w:val="22"/>
                <w:lang w:eastAsia="en-US"/>
              </w:rPr>
              <w:t>forvaltningsplaner</w:t>
            </w:r>
          </w:p>
          <w:p w14:paraId="58E5519E" w14:textId="184C06DF" w:rsidR="00D7005D" w:rsidRPr="0022170E" w:rsidRDefault="00592C2C" w:rsidP="0075589B">
            <w:pPr>
              <w:tabs>
                <w:tab w:val="left" w:pos="317"/>
              </w:tabs>
              <w:spacing w:after="120" w:line="259" w:lineRule="auto"/>
              <w:rPr>
                <w:rFonts w:ascii="Calibri" w:eastAsia="Calibri" w:hAnsi="Calibri" w:cs="Calibri"/>
                <w:sz w:val="20"/>
                <w:lang w:eastAsia="en-US"/>
              </w:rPr>
            </w:pPr>
            <w:r>
              <w:rPr>
                <w:rFonts w:ascii="Calibri" w:eastAsia="Calibri" w:hAnsi="Calibri" w:cs="Calibri"/>
                <w:sz w:val="22"/>
                <w:szCs w:val="22"/>
                <w:lang w:eastAsia="en-US"/>
              </w:rPr>
              <w:t>Det skal sikres, at kontrolreglerne spiller sammen på en hensigtsmæssig måde med de fastlagte flerårige forvaltningsplaner. Det gælder fx i forhold til forudanmeldelse før et fartøj må gå i havn, det gælder spørgsmålet om ”udpegede havne” og det gælder bestemmelse om stuvning ombord på fartøjerne – i alle tilfælde kan teksten i kontrolforordningen forenkles.</w:t>
            </w:r>
          </w:p>
          <w:p w14:paraId="2B7B5978" w14:textId="7B3FCF1C" w:rsidR="0075589B" w:rsidRPr="0022170E" w:rsidRDefault="0075589B" w:rsidP="00D3073D">
            <w:pPr>
              <w:tabs>
                <w:tab w:val="left" w:pos="340"/>
              </w:tabs>
              <w:spacing w:line="276" w:lineRule="auto"/>
              <w:jc w:val="both"/>
              <w:rPr>
                <w:rFonts w:asciiTheme="minorHAnsi" w:hAnsiTheme="minorHAnsi" w:cstheme="minorHAnsi"/>
                <w:b/>
                <w:sz w:val="22"/>
                <w:szCs w:val="22"/>
              </w:rPr>
            </w:pPr>
          </w:p>
          <w:p w14:paraId="59F962E6" w14:textId="4F5409F7" w:rsidR="005E706B" w:rsidRPr="0022170E" w:rsidRDefault="005E706B" w:rsidP="00D3073D">
            <w:pPr>
              <w:tabs>
                <w:tab w:val="left" w:pos="340"/>
              </w:tabs>
              <w:spacing w:line="276" w:lineRule="auto"/>
              <w:jc w:val="both"/>
              <w:rPr>
                <w:rFonts w:asciiTheme="minorHAnsi" w:hAnsiTheme="minorHAnsi" w:cstheme="minorHAnsi"/>
                <w:b/>
                <w:sz w:val="22"/>
                <w:szCs w:val="22"/>
              </w:rPr>
            </w:pPr>
          </w:p>
          <w:p w14:paraId="660F1E99" w14:textId="77777777" w:rsidR="005E706B" w:rsidRPr="0022170E" w:rsidRDefault="005E706B" w:rsidP="00D3073D">
            <w:pPr>
              <w:tabs>
                <w:tab w:val="left" w:pos="340"/>
              </w:tabs>
              <w:spacing w:line="276" w:lineRule="auto"/>
              <w:jc w:val="both"/>
              <w:rPr>
                <w:rFonts w:asciiTheme="minorHAnsi" w:hAnsiTheme="minorHAnsi" w:cstheme="minorHAnsi"/>
                <w:b/>
                <w:sz w:val="22"/>
                <w:szCs w:val="22"/>
              </w:rPr>
            </w:pPr>
          </w:p>
          <w:p w14:paraId="5FED0B2A" w14:textId="1E80C737" w:rsidR="00093DB3" w:rsidRPr="00D3073D" w:rsidRDefault="00093DB3" w:rsidP="00D3073D">
            <w:pPr>
              <w:tabs>
                <w:tab w:val="left" w:pos="340"/>
              </w:tabs>
              <w:spacing w:line="276" w:lineRule="auto"/>
              <w:jc w:val="both"/>
              <w:rPr>
                <w:rFonts w:ascii="Arial" w:hAnsi="Arial" w:cs="Arial"/>
                <w:bCs/>
                <w:sz w:val="22"/>
                <w:szCs w:val="22"/>
              </w:rPr>
            </w:pPr>
            <w:r w:rsidRPr="00D3073D">
              <w:rPr>
                <w:rFonts w:ascii="Arial" w:hAnsi="Arial" w:cs="Arial"/>
                <w:bCs/>
                <w:sz w:val="22"/>
                <w:szCs w:val="22"/>
              </w:rPr>
              <w:t>Med venlig hilse</w:t>
            </w:r>
            <w:r w:rsidR="003925F9" w:rsidRPr="00D3073D">
              <w:rPr>
                <w:rFonts w:ascii="Arial" w:hAnsi="Arial" w:cs="Arial"/>
                <w:bCs/>
                <w:sz w:val="22"/>
                <w:szCs w:val="22"/>
              </w:rPr>
              <w:t>n</w:t>
            </w:r>
          </w:p>
          <w:p w14:paraId="4D675D0D" w14:textId="77777777" w:rsidR="003925F9" w:rsidRPr="00D3073D" w:rsidRDefault="003925F9" w:rsidP="003925F9">
            <w:pPr>
              <w:tabs>
                <w:tab w:val="left" w:pos="340"/>
              </w:tabs>
              <w:spacing w:line="360" w:lineRule="auto"/>
              <w:jc w:val="both"/>
              <w:rPr>
                <w:rFonts w:ascii="Arial" w:hAnsi="Arial" w:cs="Arial"/>
                <w:sz w:val="22"/>
                <w:szCs w:val="22"/>
              </w:rPr>
            </w:pPr>
          </w:p>
          <w:p w14:paraId="077484A6" w14:textId="75FCC15C" w:rsidR="003C2677" w:rsidRPr="00D3073D" w:rsidRDefault="00DA5B4A" w:rsidP="003C2677">
            <w:pPr>
              <w:spacing w:after="120" w:line="276" w:lineRule="auto"/>
              <w:jc w:val="both"/>
              <w:rPr>
                <w:rFonts w:ascii="Arial" w:hAnsi="Arial" w:cs="Arial"/>
                <w:b/>
                <w:sz w:val="22"/>
                <w:szCs w:val="22"/>
              </w:rPr>
            </w:pPr>
            <w:r w:rsidRPr="00D3073D">
              <w:rPr>
                <w:rFonts w:ascii="Arial" w:hAnsi="Arial" w:cs="Arial"/>
                <w:b/>
                <w:sz w:val="22"/>
                <w:szCs w:val="22"/>
              </w:rPr>
              <w:t>Danmarks Fiskeriforening PO</w:t>
            </w:r>
            <w:r w:rsidR="00093DB3" w:rsidRPr="00D3073D">
              <w:rPr>
                <w:rFonts w:ascii="Arial" w:hAnsi="Arial" w:cs="Arial"/>
                <w:b/>
                <w:sz w:val="22"/>
                <w:szCs w:val="22"/>
              </w:rPr>
              <w:t xml:space="preserve"> </w:t>
            </w:r>
          </w:p>
          <w:p w14:paraId="7C92DB02" w14:textId="08313303" w:rsidR="00D241F9" w:rsidRPr="00D3073D" w:rsidRDefault="00D241F9" w:rsidP="003C2677">
            <w:pPr>
              <w:spacing w:after="120" w:line="276" w:lineRule="auto"/>
              <w:jc w:val="both"/>
              <w:rPr>
                <w:rFonts w:ascii="Arial" w:hAnsi="Arial" w:cs="Arial"/>
                <w:b/>
                <w:sz w:val="22"/>
                <w:szCs w:val="22"/>
              </w:rPr>
            </w:pPr>
            <w:r w:rsidRPr="00D3073D">
              <w:rPr>
                <w:rFonts w:ascii="Arial" w:hAnsi="Arial" w:cs="Arial"/>
                <w:b/>
                <w:sz w:val="22"/>
                <w:szCs w:val="22"/>
              </w:rPr>
              <w:t xml:space="preserve">Danmarks Pelagiske </w:t>
            </w:r>
            <w:r w:rsidR="00D3073D">
              <w:rPr>
                <w:rFonts w:ascii="Arial" w:hAnsi="Arial" w:cs="Arial"/>
                <w:b/>
                <w:sz w:val="22"/>
                <w:szCs w:val="22"/>
              </w:rPr>
              <w:t>Producentorganisation</w:t>
            </w:r>
          </w:p>
          <w:p w14:paraId="69A69D67" w14:textId="77777777" w:rsidR="00BE5F1A" w:rsidRPr="00CA1AA8" w:rsidRDefault="00BE5F1A" w:rsidP="00420C16">
            <w:pPr>
              <w:spacing w:after="120" w:line="276" w:lineRule="auto"/>
              <w:jc w:val="both"/>
              <w:rPr>
                <w:szCs w:val="24"/>
              </w:rPr>
            </w:pPr>
          </w:p>
        </w:tc>
        <w:tc>
          <w:tcPr>
            <w:tcW w:w="585" w:type="dxa"/>
            <w:tcMar>
              <w:left w:w="0" w:type="dxa"/>
              <w:right w:w="0" w:type="dxa"/>
            </w:tcMar>
          </w:tcPr>
          <w:p w14:paraId="37F156AE" w14:textId="50D63A9A" w:rsidR="00BE5F1A" w:rsidRPr="00CA1AA8" w:rsidRDefault="00B06919" w:rsidP="0075078B">
            <w:pPr>
              <w:rPr>
                <w:color w:val="000000" w:themeColor="text1"/>
                <w:szCs w:val="24"/>
              </w:rPr>
            </w:pPr>
            <w:r w:rsidRPr="00CA1AA8">
              <w:rPr>
                <w:color w:val="000000" w:themeColor="text1"/>
                <w:szCs w:val="24"/>
              </w:rPr>
              <w:lastRenderedPageBreak/>
              <w:t xml:space="preserve"> </w:t>
            </w:r>
          </w:p>
        </w:tc>
      </w:tr>
    </w:tbl>
    <w:p w14:paraId="7F81443D" w14:textId="77777777" w:rsidR="00E33390" w:rsidRPr="00CA1AA8" w:rsidRDefault="00B210E5">
      <w:pPr>
        <w:rPr>
          <w:szCs w:val="24"/>
        </w:rPr>
      </w:pPr>
    </w:p>
    <w:p w14:paraId="1D23E2DB" w14:textId="77777777" w:rsidR="00210AE6" w:rsidRPr="00CA1AA8" w:rsidRDefault="00210AE6">
      <w:pPr>
        <w:rPr>
          <w:szCs w:val="24"/>
        </w:rPr>
      </w:pPr>
    </w:p>
    <w:sectPr w:rsidR="00210AE6" w:rsidRPr="00CA1AA8" w:rsidSect="00B620B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E62D" w14:textId="77777777" w:rsidR="00B210E5" w:rsidRDefault="00B210E5">
      <w:r>
        <w:separator/>
      </w:r>
    </w:p>
  </w:endnote>
  <w:endnote w:type="continuationSeparator" w:id="0">
    <w:p w14:paraId="03A0B848" w14:textId="77777777" w:rsidR="00B210E5" w:rsidRDefault="00B2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346F"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5EC63E9" w14:textId="77777777" w:rsidR="00E33390" w:rsidRDefault="00B210E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BE62"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E719690" w14:textId="77777777" w:rsidR="00E33390" w:rsidRDefault="00B210E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AAE9" w14:textId="77777777" w:rsidR="00E33390" w:rsidRDefault="00B210E5"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07F9" w14:textId="77777777" w:rsidR="00B210E5" w:rsidRDefault="00B210E5">
      <w:r>
        <w:separator/>
      </w:r>
    </w:p>
  </w:footnote>
  <w:footnote w:type="continuationSeparator" w:id="0">
    <w:p w14:paraId="259C6333" w14:textId="77777777" w:rsidR="00B210E5" w:rsidRDefault="00B2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A489"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6CCF0E3" w14:textId="77777777" w:rsidR="00E33390" w:rsidRDefault="00B210E5">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8140" w14:textId="77777777" w:rsidR="00E33390" w:rsidRDefault="00B210E5">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26"/>
    </w:tblGrid>
    <w:tr w:rsidR="001776DA" w:rsidRPr="0064758B" w14:paraId="046596D0" w14:textId="77777777">
      <w:tc>
        <w:tcPr>
          <w:tcW w:w="4678" w:type="dxa"/>
        </w:tcPr>
        <w:p w14:paraId="67DC2ADF" w14:textId="216412A2" w:rsidR="001776DA" w:rsidRPr="001776DA" w:rsidRDefault="003C4EE7" w:rsidP="001776DA">
          <w:pPr>
            <w:pStyle w:val="Sidefod"/>
            <w:jc w:val="right"/>
          </w:pPr>
          <w:r>
            <w:rPr>
              <w:noProof/>
            </w:rPr>
            <w:drawing>
              <wp:inline distT="0" distB="0" distL="0" distR="0" wp14:anchorId="172B9ABC" wp14:editId="7EDBD584">
                <wp:extent cx="3171825" cy="504825"/>
                <wp:effectExtent l="0" t="0" r="9525" b="9525"/>
                <wp:docPr id="2" name="Billede 19"/>
                <wp:cNvGraphicFramePr/>
                <a:graphic xmlns:a="http://schemas.openxmlformats.org/drawingml/2006/main">
                  <a:graphicData uri="http://schemas.openxmlformats.org/drawingml/2006/picture">
                    <pic:pic xmlns:pic="http://schemas.openxmlformats.org/drawingml/2006/picture">
                      <pic:nvPicPr>
                        <pic:cNvPr id="1" name="Billed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p>
      </w:tc>
    </w:tr>
  </w:tbl>
  <w:p w14:paraId="48576F52" w14:textId="77777777" w:rsidR="00E33390" w:rsidRPr="0064758B" w:rsidRDefault="00B210E5" w:rsidP="00E33390">
    <w:pPr>
      <w:pStyle w:val="Sidefod"/>
      <w:jc w:val="right"/>
      <w:rPr>
        <w:rFonts w:ascii="Arial" w:hAnsi="Arial"/>
        <w:b/>
        <w:caps/>
        <w:color w:val="333333"/>
        <w:sz w:val="18"/>
      </w:rPr>
    </w:pPr>
  </w:p>
  <w:p w14:paraId="5D567ABF" w14:textId="77777777" w:rsidR="00E33390" w:rsidRPr="0064758B" w:rsidRDefault="00B210E5" w:rsidP="001776DA">
    <w:pPr>
      <w:pStyle w:val="Sidefod"/>
      <w:rPr>
        <w:rFonts w:ascii="Arial" w:hAnsi="Arial"/>
        <w:b/>
        <w:caps/>
        <w:color w:val="333333"/>
        <w:sz w:val="18"/>
      </w:rPr>
    </w:pPr>
  </w:p>
  <w:p w14:paraId="59AFE90C" w14:textId="77777777" w:rsidR="00E33390" w:rsidRPr="0064758B" w:rsidRDefault="00B210E5" w:rsidP="00E33390">
    <w:pPr>
      <w:pStyle w:val="Sidefod"/>
      <w:jc w:val="right"/>
      <w:rPr>
        <w:rFonts w:ascii="Arial" w:hAnsi="Arial"/>
        <w:b/>
        <w:caps/>
        <w:color w:val="333333"/>
        <w:sz w:val="18"/>
      </w:rPr>
    </w:pPr>
  </w:p>
  <w:p w14:paraId="4C8C4E45" w14:textId="77777777" w:rsidR="00E33390" w:rsidRPr="0064758B" w:rsidRDefault="00B210E5"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E536" w14:textId="77777777" w:rsidR="00E33390" w:rsidRDefault="00B210E5"/>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26"/>
    </w:tblGrid>
    <w:tr w:rsidR="00AE3F56" w:rsidRPr="00AC6944" w14:paraId="614A810E" w14:textId="77777777">
      <w:trPr>
        <w:trHeight w:val="3103"/>
      </w:trPr>
      <w:tc>
        <w:tcPr>
          <w:tcW w:w="5002" w:type="dxa"/>
        </w:tcPr>
        <w:p w14:paraId="766023CE" w14:textId="4EC89CAA" w:rsidR="00BB44A0" w:rsidRPr="00BE5F1A" w:rsidRDefault="003C4EE7" w:rsidP="00BD591B">
          <w:pPr>
            <w:pStyle w:val="Sidefod"/>
            <w:rPr>
              <w:rFonts w:ascii="Arial" w:hAnsi="Arial"/>
              <w:color w:val="808080"/>
              <w:sz w:val="18"/>
            </w:rPr>
          </w:pPr>
          <w:r>
            <w:rPr>
              <w:noProof/>
            </w:rPr>
            <w:drawing>
              <wp:inline distT="0" distB="0" distL="0" distR="0" wp14:anchorId="012EFE07" wp14:editId="02D404F9">
                <wp:extent cx="3171825" cy="504825"/>
                <wp:effectExtent l="0" t="0" r="9525" b="9525"/>
                <wp:docPr id="1" name="Billede 19"/>
                <wp:cNvGraphicFramePr/>
                <a:graphic xmlns:a="http://schemas.openxmlformats.org/drawingml/2006/main">
                  <a:graphicData uri="http://schemas.openxmlformats.org/drawingml/2006/picture">
                    <pic:pic xmlns:pic="http://schemas.openxmlformats.org/drawingml/2006/picture">
                      <pic:nvPicPr>
                        <pic:cNvPr id="1" name="Billed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504825"/>
                        </a:xfrm>
                        <a:prstGeom prst="rect">
                          <a:avLst/>
                        </a:prstGeom>
                        <a:noFill/>
                        <a:ln>
                          <a:noFill/>
                        </a:ln>
                      </pic:spPr>
                    </pic:pic>
                  </a:graphicData>
                </a:graphic>
              </wp:inline>
            </w:drawing>
          </w:r>
        </w:p>
      </w:tc>
    </w:tr>
  </w:tbl>
  <w:p w14:paraId="0245F398" w14:textId="77777777" w:rsidR="00E33390" w:rsidRPr="00BE5F1A" w:rsidRDefault="00B210E5" w:rsidP="00A760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762C"/>
    <w:multiLevelType w:val="hybridMultilevel"/>
    <w:tmpl w:val="8A30BB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A934252"/>
    <w:multiLevelType w:val="hybridMultilevel"/>
    <w:tmpl w:val="3134F4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0A1094C"/>
    <w:multiLevelType w:val="hybridMultilevel"/>
    <w:tmpl w:val="A7DC0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9A4AC5"/>
    <w:multiLevelType w:val="hybridMultilevel"/>
    <w:tmpl w:val="71A43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2634EF1"/>
    <w:multiLevelType w:val="hybridMultilevel"/>
    <w:tmpl w:val="77D0FF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5E97B4C"/>
    <w:multiLevelType w:val="hybridMultilevel"/>
    <w:tmpl w:val="BDCCECE2"/>
    <w:lvl w:ilvl="0" w:tplc="2D56C700">
      <w:start w:val="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136C3"/>
    <w:rsid w:val="00024A1B"/>
    <w:rsid w:val="00052AE6"/>
    <w:rsid w:val="00053B12"/>
    <w:rsid w:val="00053B64"/>
    <w:rsid w:val="00065EB0"/>
    <w:rsid w:val="00066639"/>
    <w:rsid w:val="00072111"/>
    <w:rsid w:val="00084B9B"/>
    <w:rsid w:val="00093DB3"/>
    <w:rsid w:val="000C3D58"/>
    <w:rsid w:val="000C6A82"/>
    <w:rsid w:val="000C6C2B"/>
    <w:rsid w:val="000D2238"/>
    <w:rsid w:val="000D42B0"/>
    <w:rsid w:val="000D70DB"/>
    <w:rsid w:val="001776DA"/>
    <w:rsid w:val="00186D37"/>
    <w:rsid w:val="001C7DD7"/>
    <w:rsid w:val="001D08E4"/>
    <w:rsid w:val="001D5B99"/>
    <w:rsid w:val="001E55CC"/>
    <w:rsid w:val="001F113A"/>
    <w:rsid w:val="001F1255"/>
    <w:rsid w:val="001F525B"/>
    <w:rsid w:val="001F5A38"/>
    <w:rsid w:val="00204ADF"/>
    <w:rsid w:val="00210AE6"/>
    <w:rsid w:val="0022170E"/>
    <w:rsid w:val="00242028"/>
    <w:rsid w:val="00252959"/>
    <w:rsid w:val="00256FD2"/>
    <w:rsid w:val="00262469"/>
    <w:rsid w:val="00267C89"/>
    <w:rsid w:val="002A2CE1"/>
    <w:rsid w:val="002A527F"/>
    <w:rsid w:val="002A6D5E"/>
    <w:rsid w:val="002A7DD7"/>
    <w:rsid w:val="002C120F"/>
    <w:rsid w:val="003861B7"/>
    <w:rsid w:val="003925F9"/>
    <w:rsid w:val="003C2677"/>
    <w:rsid w:val="003C4EE7"/>
    <w:rsid w:val="003E4A80"/>
    <w:rsid w:val="003F548D"/>
    <w:rsid w:val="004007F4"/>
    <w:rsid w:val="00401EBE"/>
    <w:rsid w:val="00407660"/>
    <w:rsid w:val="004104DD"/>
    <w:rsid w:val="00420C16"/>
    <w:rsid w:val="00430616"/>
    <w:rsid w:val="004323A7"/>
    <w:rsid w:val="00457D91"/>
    <w:rsid w:val="004663C7"/>
    <w:rsid w:val="00497D6E"/>
    <w:rsid w:val="004D78F8"/>
    <w:rsid w:val="004F07F7"/>
    <w:rsid w:val="00531134"/>
    <w:rsid w:val="005549D6"/>
    <w:rsid w:val="00565A00"/>
    <w:rsid w:val="0059048C"/>
    <w:rsid w:val="00592C2C"/>
    <w:rsid w:val="005B418A"/>
    <w:rsid w:val="005B5BBA"/>
    <w:rsid w:val="005C023F"/>
    <w:rsid w:val="005E706B"/>
    <w:rsid w:val="005F3157"/>
    <w:rsid w:val="005F3468"/>
    <w:rsid w:val="005F4F4C"/>
    <w:rsid w:val="00612A11"/>
    <w:rsid w:val="0061465E"/>
    <w:rsid w:val="006321C9"/>
    <w:rsid w:val="0065084B"/>
    <w:rsid w:val="006762A3"/>
    <w:rsid w:val="006819D1"/>
    <w:rsid w:val="00685D99"/>
    <w:rsid w:val="006978A4"/>
    <w:rsid w:val="006A48B6"/>
    <w:rsid w:val="006E702E"/>
    <w:rsid w:val="006F4C45"/>
    <w:rsid w:val="006F5666"/>
    <w:rsid w:val="0072100D"/>
    <w:rsid w:val="0072600A"/>
    <w:rsid w:val="00736953"/>
    <w:rsid w:val="0075078B"/>
    <w:rsid w:val="0075589B"/>
    <w:rsid w:val="007829E8"/>
    <w:rsid w:val="00786F41"/>
    <w:rsid w:val="007D0003"/>
    <w:rsid w:val="007D1400"/>
    <w:rsid w:val="007E1623"/>
    <w:rsid w:val="00802A06"/>
    <w:rsid w:val="00823886"/>
    <w:rsid w:val="008334D1"/>
    <w:rsid w:val="00833CDC"/>
    <w:rsid w:val="0087438D"/>
    <w:rsid w:val="00882A95"/>
    <w:rsid w:val="00886FFD"/>
    <w:rsid w:val="00895F8B"/>
    <w:rsid w:val="008A2CFC"/>
    <w:rsid w:val="008A754E"/>
    <w:rsid w:val="009103B6"/>
    <w:rsid w:val="00913308"/>
    <w:rsid w:val="009426BD"/>
    <w:rsid w:val="00942CBF"/>
    <w:rsid w:val="00956EF6"/>
    <w:rsid w:val="0097544F"/>
    <w:rsid w:val="009902D6"/>
    <w:rsid w:val="00994757"/>
    <w:rsid w:val="00995C8C"/>
    <w:rsid w:val="009D46AA"/>
    <w:rsid w:val="009F06EE"/>
    <w:rsid w:val="00A12C14"/>
    <w:rsid w:val="00A14ED7"/>
    <w:rsid w:val="00A3231D"/>
    <w:rsid w:val="00A4203A"/>
    <w:rsid w:val="00A540E4"/>
    <w:rsid w:val="00A76079"/>
    <w:rsid w:val="00A91CA0"/>
    <w:rsid w:val="00A950D3"/>
    <w:rsid w:val="00AC0283"/>
    <w:rsid w:val="00AC5B11"/>
    <w:rsid w:val="00AC6944"/>
    <w:rsid w:val="00AD5EEC"/>
    <w:rsid w:val="00AE3F56"/>
    <w:rsid w:val="00B06919"/>
    <w:rsid w:val="00B210E5"/>
    <w:rsid w:val="00B31F4D"/>
    <w:rsid w:val="00B455AF"/>
    <w:rsid w:val="00B56072"/>
    <w:rsid w:val="00B6125B"/>
    <w:rsid w:val="00B620B2"/>
    <w:rsid w:val="00B84D65"/>
    <w:rsid w:val="00B86380"/>
    <w:rsid w:val="00B929A1"/>
    <w:rsid w:val="00B93D68"/>
    <w:rsid w:val="00BB44A0"/>
    <w:rsid w:val="00BC0BB6"/>
    <w:rsid w:val="00BC1FB2"/>
    <w:rsid w:val="00BD591B"/>
    <w:rsid w:val="00BE4EF8"/>
    <w:rsid w:val="00BE5F1A"/>
    <w:rsid w:val="00BF4594"/>
    <w:rsid w:val="00C66AD3"/>
    <w:rsid w:val="00C73298"/>
    <w:rsid w:val="00C825F4"/>
    <w:rsid w:val="00C93FF8"/>
    <w:rsid w:val="00CA1AA8"/>
    <w:rsid w:val="00CA4263"/>
    <w:rsid w:val="00CA45BA"/>
    <w:rsid w:val="00CB563D"/>
    <w:rsid w:val="00CC6967"/>
    <w:rsid w:val="00D241F9"/>
    <w:rsid w:val="00D3073D"/>
    <w:rsid w:val="00D67405"/>
    <w:rsid w:val="00D7005D"/>
    <w:rsid w:val="00D85E92"/>
    <w:rsid w:val="00D93A72"/>
    <w:rsid w:val="00DA5B4A"/>
    <w:rsid w:val="00DC77F3"/>
    <w:rsid w:val="00E30513"/>
    <w:rsid w:val="00E40519"/>
    <w:rsid w:val="00E4618C"/>
    <w:rsid w:val="00E60A3F"/>
    <w:rsid w:val="00E7750B"/>
    <w:rsid w:val="00EA3CC6"/>
    <w:rsid w:val="00EB0E95"/>
    <w:rsid w:val="00EB768D"/>
    <w:rsid w:val="00EC6B83"/>
    <w:rsid w:val="00ED1866"/>
    <w:rsid w:val="00EF3F2E"/>
    <w:rsid w:val="00F52008"/>
    <w:rsid w:val="00F5410D"/>
    <w:rsid w:val="00F5634A"/>
    <w:rsid w:val="00F56B29"/>
    <w:rsid w:val="00F571EF"/>
    <w:rsid w:val="00F61751"/>
    <w:rsid w:val="00F6290F"/>
    <w:rsid w:val="00F63D16"/>
    <w:rsid w:val="00F70A64"/>
    <w:rsid w:val="00FA1217"/>
    <w:rsid w:val="00FA2518"/>
    <w:rsid w:val="00FF7B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62883"/>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paragraph" w:styleId="Listeafsnit">
    <w:name w:val="List Paragraph"/>
    <w:basedOn w:val="Normal"/>
    <w:link w:val="ListeafsnitTegn"/>
    <w:uiPriority w:val="34"/>
    <w:qFormat/>
    <w:rsid w:val="000136C3"/>
    <w:pPr>
      <w:ind w:left="720"/>
      <w:contextualSpacing/>
    </w:pPr>
  </w:style>
  <w:style w:type="paragraph" w:styleId="Fodnotetekst">
    <w:name w:val="footnote text"/>
    <w:aliases w:val="Tegn, Tegn"/>
    <w:basedOn w:val="Normal"/>
    <w:link w:val="FodnotetekstTegn"/>
    <w:uiPriority w:val="99"/>
    <w:unhideWhenUsed/>
    <w:rsid w:val="00EB0E95"/>
    <w:rPr>
      <w:rFonts w:ascii="Verdana" w:eastAsia="SimSun" w:hAnsi="Verdana"/>
      <w:sz w:val="20"/>
    </w:rPr>
  </w:style>
  <w:style w:type="character" w:customStyle="1" w:styleId="FodnotetekstTegn">
    <w:name w:val="Fodnotetekst Tegn"/>
    <w:aliases w:val="Tegn Tegn, Tegn Tegn"/>
    <w:basedOn w:val="Standardskrifttypeiafsnit"/>
    <w:link w:val="Fodnotetekst"/>
    <w:uiPriority w:val="99"/>
    <w:rsid w:val="00EB0E95"/>
    <w:rPr>
      <w:rFonts w:ascii="Verdana" w:eastAsia="SimSun" w:hAnsi="Verdana"/>
    </w:rPr>
  </w:style>
  <w:style w:type="character" w:styleId="Fodnotehenvisning">
    <w:name w:val="footnote reference"/>
    <w:aliases w:val="stylish"/>
    <w:uiPriority w:val="99"/>
    <w:unhideWhenUsed/>
    <w:rsid w:val="00EB0E95"/>
    <w:rPr>
      <w:vertAlign w:val="superscript"/>
    </w:rPr>
  </w:style>
  <w:style w:type="character" w:customStyle="1" w:styleId="ListeafsnitTegn">
    <w:name w:val="Listeafsnit Tegn"/>
    <w:link w:val="Listeafsnit"/>
    <w:uiPriority w:val="34"/>
    <w:locked/>
    <w:rsid w:val="00EB0E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266">
      <w:bodyDiv w:val="1"/>
      <w:marLeft w:val="0"/>
      <w:marRight w:val="0"/>
      <w:marTop w:val="0"/>
      <w:marBottom w:val="0"/>
      <w:divBdr>
        <w:top w:val="none" w:sz="0" w:space="0" w:color="auto"/>
        <w:left w:val="none" w:sz="0" w:space="0" w:color="auto"/>
        <w:bottom w:val="none" w:sz="0" w:space="0" w:color="auto"/>
        <w:right w:val="none" w:sz="0" w:space="0" w:color="auto"/>
      </w:divBdr>
    </w:div>
    <w:div w:id="229341812">
      <w:bodyDiv w:val="1"/>
      <w:marLeft w:val="0"/>
      <w:marRight w:val="0"/>
      <w:marTop w:val="0"/>
      <w:marBottom w:val="0"/>
      <w:divBdr>
        <w:top w:val="none" w:sz="0" w:space="0" w:color="auto"/>
        <w:left w:val="none" w:sz="0" w:space="0" w:color="auto"/>
        <w:bottom w:val="none" w:sz="0" w:space="0" w:color="auto"/>
        <w:right w:val="none" w:sz="0" w:space="0" w:color="auto"/>
      </w:divBdr>
    </w:div>
    <w:div w:id="268389278">
      <w:bodyDiv w:val="1"/>
      <w:marLeft w:val="0"/>
      <w:marRight w:val="0"/>
      <w:marTop w:val="0"/>
      <w:marBottom w:val="0"/>
      <w:divBdr>
        <w:top w:val="none" w:sz="0" w:space="0" w:color="auto"/>
        <w:left w:val="none" w:sz="0" w:space="0" w:color="auto"/>
        <w:bottom w:val="none" w:sz="0" w:space="0" w:color="auto"/>
        <w:right w:val="none" w:sz="0" w:space="0" w:color="auto"/>
      </w:divBdr>
    </w:div>
    <w:div w:id="345526104">
      <w:bodyDiv w:val="1"/>
      <w:marLeft w:val="0"/>
      <w:marRight w:val="0"/>
      <w:marTop w:val="0"/>
      <w:marBottom w:val="0"/>
      <w:divBdr>
        <w:top w:val="none" w:sz="0" w:space="0" w:color="auto"/>
        <w:left w:val="none" w:sz="0" w:space="0" w:color="auto"/>
        <w:bottom w:val="none" w:sz="0" w:space="0" w:color="auto"/>
        <w:right w:val="none" w:sz="0" w:space="0" w:color="auto"/>
      </w:divBdr>
    </w:div>
    <w:div w:id="349989002">
      <w:bodyDiv w:val="1"/>
      <w:marLeft w:val="0"/>
      <w:marRight w:val="0"/>
      <w:marTop w:val="0"/>
      <w:marBottom w:val="0"/>
      <w:divBdr>
        <w:top w:val="none" w:sz="0" w:space="0" w:color="auto"/>
        <w:left w:val="none" w:sz="0" w:space="0" w:color="auto"/>
        <w:bottom w:val="none" w:sz="0" w:space="0" w:color="auto"/>
        <w:right w:val="none" w:sz="0" w:space="0" w:color="auto"/>
      </w:divBdr>
    </w:div>
    <w:div w:id="558979548">
      <w:bodyDiv w:val="1"/>
      <w:marLeft w:val="0"/>
      <w:marRight w:val="0"/>
      <w:marTop w:val="0"/>
      <w:marBottom w:val="0"/>
      <w:divBdr>
        <w:top w:val="none" w:sz="0" w:space="0" w:color="auto"/>
        <w:left w:val="none" w:sz="0" w:space="0" w:color="auto"/>
        <w:bottom w:val="none" w:sz="0" w:space="0" w:color="auto"/>
        <w:right w:val="none" w:sz="0" w:space="0" w:color="auto"/>
      </w:divBdr>
    </w:div>
    <w:div w:id="620036932">
      <w:bodyDiv w:val="1"/>
      <w:marLeft w:val="0"/>
      <w:marRight w:val="0"/>
      <w:marTop w:val="0"/>
      <w:marBottom w:val="0"/>
      <w:divBdr>
        <w:top w:val="none" w:sz="0" w:space="0" w:color="auto"/>
        <w:left w:val="none" w:sz="0" w:space="0" w:color="auto"/>
        <w:bottom w:val="none" w:sz="0" w:space="0" w:color="auto"/>
        <w:right w:val="none" w:sz="0" w:space="0" w:color="auto"/>
      </w:divBdr>
    </w:div>
    <w:div w:id="955256086">
      <w:bodyDiv w:val="1"/>
      <w:marLeft w:val="0"/>
      <w:marRight w:val="0"/>
      <w:marTop w:val="0"/>
      <w:marBottom w:val="0"/>
      <w:divBdr>
        <w:top w:val="none" w:sz="0" w:space="0" w:color="auto"/>
        <w:left w:val="none" w:sz="0" w:space="0" w:color="auto"/>
        <w:bottom w:val="none" w:sz="0" w:space="0" w:color="auto"/>
        <w:right w:val="none" w:sz="0" w:space="0" w:color="auto"/>
      </w:divBdr>
    </w:div>
    <w:div w:id="1333029587">
      <w:bodyDiv w:val="1"/>
      <w:marLeft w:val="0"/>
      <w:marRight w:val="0"/>
      <w:marTop w:val="0"/>
      <w:marBottom w:val="0"/>
      <w:divBdr>
        <w:top w:val="none" w:sz="0" w:space="0" w:color="auto"/>
        <w:left w:val="none" w:sz="0" w:space="0" w:color="auto"/>
        <w:bottom w:val="none" w:sz="0" w:space="0" w:color="auto"/>
        <w:right w:val="none" w:sz="0" w:space="0" w:color="auto"/>
      </w:divBdr>
    </w:div>
    <w:div w:id="1591428707">
      <w:bodyDiv w:val="1"/>
      <w:marLeft w:val="0"/>
      <w:marRight w:val="0"/>
      <w:marTop w:val="0"/>
      <w:marBottom w:val="0"/>
      <w:divBdr>
        <w:top w:val="none" w:sz="0" w:space="0" w:color="auto"/>
        <w:left w:val="none" w:sz="0" w:space="0" w:color="auto"/>
        <w:bottom w:val="none" w:sz="0" w:space="0" w:color="auto"/>
        <w:right w:val="none" w:sz="0" w:space="0" w:color="auto"/>
      </w:divBdr>
    </w:div>
    <w:div w:id="1870871271">
      <w:bodyDiv w:val="1"/>
      <w:marLeft w:val="0"/>
      <w:marRight w:val="0"/>
      <w:marTop w:val="0"/>
      <w:marBottom w:val="0"/>
      <w:divBdr>
        <w:top w:val="none" w:sz="0" w:space="0" w:color="auto"/>
        <w:left w:val="none" w:sz="0" w:space="0" w:color="auto"/>
        <w:bottom w:val="none" w:sz="0" w:space="0" w:color="auto"/>
        <w:right w:val="none" w:sz="0" w:space="0" w:color="auto"/>
      </w:divBdr>
    </w:div>
    <w:div w:id="1960335349">
      <w:bodyDiv w:val="1"/>
      <w:marLeft w:val="0"/>
      <w:marRight w:val="0"/>
      <w:marTop w:val="0"/>
      <w:marBottom w:val="0"/>
      <w:divBdr>
        <w:top w:val="none" w:sz="0" w:space="0" w:color="auto"/>
        <w:left w:val="none" w:sz="0" w:space="0" w:color="auto"/>
        <w:bottom w:val="none" w:sz="0" w:space="0" w:color="auto"/>
        <w:right w:val="none" w:sz="0" w:space="0" w:color="auto"/>
      </w:divBdr>
    </w:div>
    <w:div w:id="1980719973">
      <w:bodyDiv w:val="1"/>
      <w:marLeft w:val="0"/>
      <w:marRight w:val="0"/>
      <w:marTop w:val="0"/>
      <w:marBottom w:val="0"/>
      <w:divBdr>
        <w:top w:val="none" w:sz="0" w:space="0" w:color="auto"/>
        <w:left w:val="none" w:sz="0" w:space="0" w:color="auto"/>
        <w:bottom w:val="none" w:sz="0" w:space="0" w:color="auto"/>
        <w:right w:val="none" w:sz="0" w:space="0" w:color="auto"/>
      </w:divBdr>
    </w:div>
    <w:div w:id="2009208434">
      <w:bodyDiv w:val="1"/>
      <w:marLeft w:val="0"/>
      <w:marRight w:val="0"/>
      <w:marTop w:val="0"/>
      <w:marBottom w:val="0"/>
      <w:divBdr>
        <w:top w:val="none" w:sz="0" w:space="0" w:color="auto"/>
        <w:left w:val="none" w:sz="0" w:space="0" w:color="auto"/>
        <w:bottom w:val="none" w:sz="0" w:space="0" w:color="auto"/>
        <w:right w:val="none" w:sz="0" w:space="0" w:color="auto"/>
      </w:divBdr>
    </w:div>
    <w:div w:id="2080517706">
      <w:bodyDiv w:val="1"/>
      <w:marLeft w:val="0"/>
      <w:marRight w:val="0"/>
      <w:marTop w:val="0"/>
      <w:marBottom w:val="0"/>
      <w:divBdr>
        <w:top w:val="none" w:sz="0" w:space="0" w:color="auto"/>
        <w:left w:val="none" w:sz="0" w:space="0" w:color="auto"/>
        <w:bottom w:val="none" w:sz="0" w:space="0" w:color="auto"/>
        <w:right w:val="none" w:sz="0" w:space="0" w:color="auto"/>
      </w:divBdr>
    </w:div>
    <w:div w:id="2108888875">
      <w:bodyDiv w:val="1"/>
      <w:marLeft w:val="0"/>
      <w:marRight w:val="0"/>
      <w:marTop w:val="0"/>
      <w:marBottom w:val="0"/>
      <w:divBdr>
        <w:top w:val="none" w:sz="0" w:space="0" w:color="auto"/>
        <w:left w:val="none" w:sz="0" w:space="0" w:color="auto"/>
        <w:bottom w:val="none" w:sz="0" w:space="0" w:color="auto"/>
        <w:right w:val="none" w:sz="0" w:space="0" w:color="auto"/>
      </w:divBdr>
    </w:div>
    <w:div w:id="212527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6BB4-97DE-4135-891E-D970067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1669</Words>
  <Characters>10185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11831</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Thomas Wenzel Kruse</cp:lastModifiedBy>
  <cp:revision>2</cp:revision>
  <cp:lastPrinted>2020-04-06T07:37:00Z</cp:lastPrinted>
  <dcterms:created xsi:type="dcterms:W3CDTF">2020-06-03T07:56:00Z</dcterms:created>
  <dcterms:modified xsi:type="dcterms:W3CDTF">2020-06-03T07:56:00Z</dcterms:modified>
</cp:coreProperties>
</file>