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1" w:rightFromText="181" w:vertAnchor="text" w:horzAnchor="margin" w:tblpY="-2125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</w:tblGrid>
      <w:tr w:rsidR="00E33390" w:rsidRPr="00786F41" w14:paraId="082ED8EB" w14:textId="77777777" w:rsidTr="007D0003">
        <w:tc>
          <w:tcPr>
            <w:tcW w:w="4503" w:type="dxa"/>
          </w:tcPr>
          <w:p w14:paraId="2D46FF5B" w14:textId="0D42F494" w:rsidR="00786F41" w:rsidRDefault="00B053BD" w:rsidP="007D0003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Miljø</w:t>
            </w:r>
            <w:r w:rsidR="0081131F">
              <w:rPr>
                <w:rFonts w:ascii="Arial" w:hAnsi="Arial" w:cs="Arial"/>
                <w:sz w:val="22"/>
                <w:szCs w:val="22"/>
              </w:rPr>
              <w:t>styrelsen</w:t>
            </w:r>
          </w:p>
          <w:p w14:paraId="1370491D" w14:textId="2384E872" w:rsidR="0081131F" w:rsidRDefault="00B053BD" w:rsidP="007D0003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Haraldsgade 53</w:t>
            </w:r>
          </w:p>
          <w:p w14:paraId="16927CCD" w14:textId="1D9F9530" w:rsidR="0081131F" w:rsidRPr="00242028" w:rsidRDefault="00B053BD" w:rsidP="007D0003">
            <w:pPr>
              <w:ind w:left="-567" w:firstLine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2100 København Ø</w:t>
            </w:r>
          </w:p>
          <w:p w14:paraId="1526AFB1" w14:textId="1D88AE9A" w:rsidR="00E33390" w:rsidRPr="00786F41" w:rsidRDefault="00B10B66" w:rsidP="007D0003">
            <w:pPr>
              <w:ind w:left="-567" w:firstLine="56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915D7F0" w14:textId="77777777" w:rsidR="00E33390" w:rsidRPr="00786F41" w:rsidRDefault="00B10B66" w:rsidP="00E33390">
      <w:pPr>
        <w:jc w:val="right"/>
        <w:rPr>
          <w:rFonts w:ascii="Arial" w:hAnsi="Arial"/>
          <w:sz w:val="22"/>
          <w:szCs w:val="22"/>
          <w:lang w:val="en-US"/>
        </w:rPr>
      </w:pPr>
    </w:p>
    <w:p w14:paraId="3A9D10B1" w14:textId="35E6850C" w:rsidR="009426BD" w:rsidRDefault="009426BD">
      <w:pPr>
        <w:ind w:left="3912" w:firstLine="1304"/>
        <w:rPr>
          <w:rFonts w:ascii="Arial" w:hAnsi="Arial"/>
          <w:sz w:val="22"/>
          <w:szCs w:val="22"/>
        </w:rPr>
      </w:pPr>
    </w:p>
    <w:p w14:paraId="5E4A59AD" w14:textId="4EC01972" w:rsidR="00E33390" w:rsidRPr="005C7B5C" w:rsidRDefault="00401EBE">
      <w:pPr>
        <w:ind w:left="3912" w:firstLine="1304"/>
        <w:rPr>
          <w:rFonts w:ascii="Arial" w:hAnsi="Arial"/>
          <w:sz w:val="22"/>
          <w:szCs w:val="22"/>
        </w:rPr>
      </w:pPr>
      <w:r w:rsidRPr="005C7B5C">
        <w:rPr>
          <w:rFonts w:ascii="Arial" w:hAnsi="Arial"/>
          <w:sz w:val="22"/>
          <w:szCs w:val="22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7598"/>
        <w:gridCol w:w="1973"/>
      </w:tblGrid>
      <w:tr w:rsidR="00BE5F1A" w14:paraId="7F6B6C69" w14:textId="77777777" w:rsidTr="00EC6B83">
        <w:tc>
          <w:tcPr>
            <w:tcW w:w="7598" w:type="dxa"/>
          </w:tcPr>
          <w:p w14:paraId="0DB70FBB" w14:textId="56F01BDB" w:rsidR="00B34B7F" w:rsidRPr="009E7630" w:rsidRDefault="006422A8" w:rsidP="00B34B7F">
            <w:pPr>
              <w:spacing w:after="120" w:line="21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MST 865-004</w:t>
            </w:r>
            <w:r w:rsidR="008305DC">
              <w:rPr>
                <w:szCs w:val="24"/>
              </w:rPr>
              <w:t>82</w:t>
            </w:r>
          </w:p>
          <w:p w14:paraId="54990C0F" w14:textId="5343E9FB" w:rsidR="00BE5F1A" w:rsidRPr="009E7630" w:rsidRDefault="0081131F" w:rsidP="00242028">
            <w:pPr>
              <w:spacing w:after="120" w:line="216" w:lineRule="auto"/>
              <w:rPr>
                <w:b/>
                <w:szCs w:val="24"/>
              </w:rPr>
            </w:pPr>
            <w:r w:rsidRPr="009E7630">
              <w:rPr>
                <w:b/>
                <w:szCs w:val="24"/>
              </w:rPr>
              <w:t xml:space="preserve">Høring af ansøgning om tilladelse til </w:t>
            </w:r>
            <w:r w:rsidR="00B053BD" w:rsidRPr="009E7630">
              <w:rPr>
                <w:b/>
                <w:szCs w:val="24"/>
              </w:rPr>
              <w:t xml:space="preserve">indvinding i område </w:t>
            </w:r>
            <w:r w:rsidR="002163A2">
              <w:rPr>
                <w:b/>
                <w:szCs w:val="24"/>
              </w:rPr>
              <w:t>562 HA</w:t>
            </w:r>
            <w:r w:rsidR="00B053BD" w:rsidRPr="009E7630">
              <w:rPr>
                <w:b/>
                <w:szCs w:val="24"/>
              </w:rPr>
              <w:t xml:space="preserve"> Jyske Rev</w:t>
            </w:r>
          </w:p>
          <w:p w14:paraId="28C6AF0B" w14:textId="4C130C1A" w:rsidR="00407BD9" w:rsidRPr="009E7630" w:rsidRDefault="00407BD9" w:rsidP="00407BD9">
            <w:pPr>
              <w:rPr>
                <w:szCs w:val="24"/>
              </w:rPr>
            </w:pPr>
            <w:r w:rsidRPr="009E7630">
              <w:rPr>
                <w:szCs w:val="24"/>
              </w:rPr>
              <w:t xml:space="preserve">Danmarks Fiskeriforening PO </w:t>
            </w:r>
            <w:r w:rsidR="00B053BD" w:rsidRPr="009E7630">
              <w:rPr>
                <w:szCs w:val="24"/>
              </w:rPr>
              <w:t>har følgende bemærkninger til ansøgning om tilladelse til indvindingen</w:t>
            </w:r>
            <w:r w:rsidR="00F5149C">
              <w:rPr>
                <w:szCs w:val="24"/>
              </w:rPr>
              <w:t xml:space="preserve"> på Jyske Rev område </w:t>
            </w:r>
            <w:r w:rsidR="002163A2">
              <w:rPr>
                <w:szCs w:val="24"/>
              </w:rPr>
              <w:t>562 HA</w:t>
            </w:r>
            <w:r w:rsidR="00B053BD" w:rsidRPr="009E7630">
              <w:rPr>
                <w:szCs w:val="24"/>
              </w:rPr>
              <w:t>.</w:t>
            </w:r>
          </w:p>
          <w:p w14:paraId="5CCDFF08" w14:textId="77777777" w:rsidR="0007757A" w:rsidRPr="009E7630" w:rsidRDefault="0007757A" w:rsidP="00407BD9">
            <w:pPr>
              <w:rPr>
                <w:szCs w:val="24"/>
              </w:rPr>
            </w:pPr>
          </w:p>
          <w:p w14:paraId="3E0AE357" w14:textId="690C5537" w:rsidR="009A6973" w:rsidRPr="009E7630" w:rsidRDefault="009A6973" w:rsidP="00BE5F1A">
            <w:pPr>
              <w:spacing w:line="276" w:lineRule="auto"/>
              <w:jc w:val="both"/>
              <w:rPr>
                <w:iCs/>
                <w:szCs w:val="24"/>
              </w:rPr>
            </w:pPr>
            <w:r w:rsidRPr="009E7630">
              <w:rPr>
                <w:iCs/>
                <w:szCs w:val="24"/>
              </w:rPr>
              <w:t>Danmarks Fiskeriforening PO anerkender at andre erhverv end fiskerierhvervet har brug for adgang</w:t>
            </w:r>
            <w:r w:rsidR="00005973">
              <w:rPr>
                <w:iCs/>
                <w:szCs w:val="24"/>
              </w:rPr>
              <w:t>,</w:t>
            </w:r>
            <w:r w:rsidRPr="009E7630">
              <w:rPr>
                <w:iCs/>
                <w:szCs w:val="24"/>
              </w:rPr>
              <w:t xml:space="preserve"> til de marine områder omkring Danmark. De</w:t>
            </w:r>
            <w:r w:rsidR="00005973">
              <w:rPr>
                <w:iCs/>
                <w:szCs w:val="24"/>
              </w:rPr>
              <w:t>t er dog som udgangspunkt værd</w:t>
            </w:r>
            <w:r w:rsidRPr="009E7630">
              <w:rPr>
                <w:iCs/>
                <w:szCs w:val="24"/>
              </w:rPr>
              <w:t xml:space="preserve"> at huske på, at hvor fisk er en fornybar ressource</w:t>
            </w:r>
            <w:r w:rsidR="00005973">
              <w:rPr>
                <w:iCs/>
                <w:szCs w:val="24"/>
              </w:rPr>
              <w:t>,</w:t>
            </w:r>
            <w:r w:rsidRPr="009E7630">
              <w:rPr>
                <w:iCs/>
                <w:szCs w:val="24"/>
              </w:rPr>
              <w:t xml:space="preserve"> som man vil kunne blive ved med at høste af, er det kun muligt at ”høste” råstofferne til havs en g</w:t>
            </w:r>
            <w:r w:rsidR="00005973">
              <w:rPr>
                <w:iCs/>
                <w:szCs w:val="24"/>
              </w:rPr>
              <w:t>ang og så er de væk fra området</w:t>
            </w:r>
            <w:r w:rsidR="001B6CA1">
              <w:rPr>
                <w:iCs/>
                <w:szCs w:val="24"/>
              </w:rPr>
              <w:t>,</w:t>
            </w:r>
            <w:r w:rsidR="00005973">
              <w:rPr>
                <w:iCs/>
                <w:szCs w:val="24"/>
              </w:rPr>
              <w:t xml:space="preserve"> sammen med de habitattyper der fjernes.</w:t>
            </w:r>
          </w:p>
          <w:p w14:paraId="65F879C0" w14:textId="74B37A18" w:rsidR="009E7630" w:rsidRDefault="009A6973" w:rsidP="00BE5F1A">
            <w:pPr>
              <w:spacing w:line="276" w:lineRule="auto"/>
              <w:jc w:val="both"/>
              <w:rPr>
                <w:iCs/>
                <w:szCs w:val="24"/>
              </w:rPr>
            </w:pPr>
            <w:r w:rsidRPr="009E7630">
              <w:rPr>
                <w:iCs/>
                <w:szCs w:val="24"/>
              </w:rPr>
              <w:t xml:space="preserve">Indvinding af råstoffer skal derfor tage mest muligt hensyn til de erhverv der er afhængige af netop bundforhold. I forhold til fiskeri drejer det sig om fangst, gyde, opvækst og fødesøgnings arealer. Det er afgørende </w:t>
            </w:r>
            <w:r w:rsidR="009E7630" w:rsidRPr="009E7630">
              <w:rPr>
                <w:iCs/>
                <w:szCs w:val="24"/>
              </w:rPr>
              <w:t xml:space="preserve">at der </w:t>
            </w:r>
            <w:r w:rsidR="005761AB">
              <w:rPr>
                <w:iCs/>
                <w:szCs w:val="24"/>
              </w:rPr>
              <w:t>tages hensyn til disse for fiskeriet vigtige</w:t>
            </w:r>
            <w:r w:rsidR="009E7630" w:rsidRPr="009E7630">
              <w:rPr>
                <w:iCs/>
                <w:szCs w:val="24"/>
              </w:rPr>
              <w:t xml:space="preserve"> arealer når tilladelser tildeles råstofind</w:t>
            </w:r>
            <w:r w:rsidR="009E7630">
              <w:rPr>
                <w:iCs/>
                <w:szCs w:val="24"/>
              </w:rPr>
              <w:t>ustrien og især når mængderne der ønskes indvundet er meget betydelige.</w:t>
            </w:r>
          </w:p>
          <w:p w14:paraId="438F5753" w14:textId="568EDD59" w:rsidR="009E7630" w:rsidRDefault="009E7630" w:rsidP="00BE5F1A">
            <w:pPr>
              <w:spacing w:line="276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Det er uklart for fiskerierhvervet hvordan mængder der indvindes registreres</w:t>
            </w:r>
            <w:r w:rsidR="00005973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og hvordan moniteringen med de fartøjer der indvinder kontrolleres. Disse informationer burde være nemt tilgængelige, så den specifikke indvinding i det specifikke område nemme</w:t>
            </w:r>
            <w:r w:rsidR="00005973">
              <w:rPr>
                <w:iCs/>
                <w:szCs w:val="24"/>
              </w:rPr>
              <w:t>re kan</w:t>
            </w:r>
            <w:r>
              <w:rPr>
                <w:iCs/>
                <w:szCs w:val="24"/>
              </w:rPr>
              <w:t xml:space="preserve"> moniteres også udefra.</w:t>
            </w:r>
          </w:p>
          <w:p w14:paraId="251F381E" w14:textId="192E1718" w:rsidR="00D772F0" w:rsidRDefault="00D772F0" w:rsidP="00BE5F1A">
            <w:pPr>
              <w:spacing w:line="276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Under aktivt fiskeri i råstofområder er erhvervsfartøjer ofte begrænset af deres muligheder for at navigere, når deres redskaber bjærges eller sættes ud. Det er afgørende at alle fartøjer i den forbindelse udviser godt sømands skab</w:t>
            </w:r>
            <w:r w:rsidR="00005973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ved at holde afstand til erhvervsfartøjer og ikke mindst respektere deres redskaber</w:t>
            </w:r>
            <w:r w:rsidR="001B6CA1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som oftest garn</w:t>
            </w:r>
            <w:r w:rsidR="00005973">
              <w:rPr>
                <w:iCs/>
                <w:szCs w:val="24"/>
              </w:rPr>
              <w:t xml:space="preserve"> i</w:t>
            </w:r>
            <w:r>
              <w:rPr>
                <w:iCs/>
                <w:szCs w:val="24"/>
              </w:rPr>
              <w:t xml:space="preserve"> område</w:t>
            </w:r>
            <w:r w:rsidR="00005973">
              <w:rPr>
                <w:iCs/>
                <w:szCs w:val="24"/>
              </w:rPr>
              <w:t>rne</w:t>
            </w:r>
            <w:r>
              <w:rPr>
                <w:iCs/>
                <w:szCs w:val="24"/>
              </w:rPr>
              <w:t>.</w:t>
            </w:r>
          </w:p>
          <w:p w14:paraId="474FF102" w14:textId="570CD137" w:rsidR="00D641EA" w:rsidRDefault="00D772F0" w:rsidP="00BE5F1A">
            <w:pPr>
              <w:spacing w:line="276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I området og i tæt tilknytning </w:t>
            </w:r>
            <w:r w:rsidR="001B6CA1">
              <w:rPr>
                <w:iCs/>
                <w:szCs w:val="24"/>
              </w:rPr>
              <w:t>her</w:t>
            </w:r>
            <w:r>
              <w:rPr>
                <w:iCs/>
                <w:szCs w:val="24"/>
              </w:rPr>
              <w:t>til,</w:t>
            </w:r>
            <w:r w:rsidR="00286CB0">
              <w:rPr>
                <w:iCs/>
                <w:szCs w:val="24"/>
              </w:rPr>
              <w:t xml:space="preserve"> drives der garnfiskeri </w:t>
            </w:r>
            <w:r>
              <w:rPr>
                <w:iCs/>
                <w:szCs w:val="24"/>
              </w:rPr>
              <w:t>efter torsk</w:t>
            </w:r>
            <w:r w:rsidR="00286CB0">
              <w:rPr>
                <w:iCs/>
                <w:szCs w:val="24"/>
              </w:rPr>
              <w:t xml:space="preserve"> og forskellige arter af fladfisk</w:t>
            </w:r>
            <w:r w:rsidR="001B6CA1">
              <w:rPr>
                <w:iCs/>
                <w:szCs w:val="24"/>
              </w:rPr>
              <w:t>,</w:t>
            </w:r>
            <w:bookmarkStart w:id="0" w:name="_GoBack"/>
            <w:bookmarkEnd w:id="0"/>
            <w:r w:rsidR="00796FC6">
              <w:rPr>
                <w:iCs/>
                <w:szCs w:val="24"/>
              </w:rPr>
              <w:t xml:space="preserve"> der er tæt knyttet til bund habitatet</w:t>
            </w:r>
            <w:r w:rsidR="00286CB0">
              <w:rPr>
                <w:iCs/>
                <w:szCs w:val="24"/>
              </w:rPr>
              <w:t xml:space="preserve">. Det er vigtigt for fiskerne at deres aktiviteter i området accepteres og respekteres. </w:t>
            </w:r>
          </w:p>
          <w:p w14:paraId="3438D39B" w14:textId="1A6B1ED4" w:rsidR="00D641EA" w:rsidRDefault="00D641EA" w:rsidP="00BE5F1A">
            <w:pPr>
              <w:spacing w:line="276" w:lineRule="auto"/>
              <w:jc w:val="both"/>
              <w:rPr>
                <w:iCs/>
                <w:szCs w:val="24"/>
              </w:rPr>
            </w:pPr>
          </w:p>
          <w:p w14:paraId="1A8A67C9" w14:textId="3703D048" w:rsidR="00005973" w:rsidRDefault="00005973" w:rsidP="00BE5F1A">
            <w:pPr>
              <w:spacing w:line="276" w:lineRule="auto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Fiskerne der bruger jyske rev til deres fiskeri, ser meget gerne at der tages de nødvendige hensyn</w:t>
            </w:r>
            <w:r w:rsidR="00E50A5E">
              <w:rPr>
                <w:iCs/>
                <w:szCs w:val="24"/>
              </w:rPr>
              <w:t>,</w:t>
            </w:r>
            <w:r>
              <w:rPr>
                <w:iCs/>
                <w:szCs w:val="24"/>
              </w:rPr>
              <w:t xml:space="preserve"> til deres aktiviteter, når de anvender fiskeriområder der samtidig er udlagt til råstofområder. Der burde være plads til begge erhverv i områderne og der bør samtidig oprettes en procedure for hvordan fiskerne kan kommunikere deres garnpositioner til råstoffartøjerne, så konflikter hvor garn bliver ødelagt</w:t>
            </w:r>
            <w:r w:rsidR="00E50A5E">
              <w:rPr>
                <w:iCs/>
                <w:szCs w:val="24"/>
              </w:rPr>
              <w:t xml:space="preserve"> for fremtiden</w:t>
            </w:r>
            <w:r>
              <w:rPr>
                <w:iCs/>
                <w:szCs w:val="24"/>
              </w:rPr>
              <w:t xml:space="preserve"> kan und</w:t>
            </w:r>
            <w:r w:rsidR="00E50A5E">
              <w:rPr>
                <w:iCs/>
                <w:szCs w:val="24"/>
              </w:rPr>
              <w:t>gås.</w:t>
            </w:r>
          </w:p>
          <w:p w14:paraId="0F338B2A" w14:textId="42C04864" w:rsidR="00B053BD" w:rsidRDefault="009A6973" w:rsidP="00BE5F1A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46AD59F" w14:textId="0709B9DC" w:rsidR="00BE5F1A" w:rsidRDefault="00BE5F1A" w:rsidP="00BE5F1A">
            <w:pPr>
              <w:spacing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42028">
              <w:rPr>
                <w:rFonts w:ascii="Arial" w:hAnsi="Arial" w:cs="Arial"/>
                <w:iCs/>
                <w:sz w:val="22"/>
                <w:szCs w:val="22"/>
              </w:rPr>
              <w:t>Med venlig hilsen</w:t>
            </w:r>
          </w:p>
          <w:p w14:paraId="709FBE27" w14:textId="77777777" w:rsidR="00CC55E8" w:rsidRDefault="00CC55E8" w:rsidP="003C2677">
            <w:pPr>
              <w:spacing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Henrik S. Lund</w:t>
            </w:r>
          </w:p>
          <w:p w14:paraId="0EADA231" w14:textId="4366DB04" w:rsidR="00BE5F1A" w:rsidRDefault="00CC55E8" w:rsidP="00C37BC2">
            <w:pPr>
              <w:spacing w:after="120"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</w:t>
            </w:r>
          </w:p>
        </w:tc>
        <w:tc>
          <w:tcPr>
            <w:tcW w:w="1973" w:type="dxa"/>
            <w:tcMar>
              <w:left w:w="0" w:type="dxa"/>
              <w:right w:w="0" w:type="dxa"/>
            </w:tcMar>
          </w:tcPr>
          <w:p w14:paraId="72B7577A" w14:textId="6A57E3FA" w:rsidR="00BE5F1A" w:rsidRPr="00242028" w:rsidRDefault="008305DC" w:rsidP="00AD5EEC">
            <w:p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25</w:t>
            </w:r>
            <w:r w:rsidR="00BE5F1A" w:rsidRPr="00242028">
              <w:rPr>
                <w:rFonts w:ascii="Arial" w:hAnsi="Arial"/>
                <w:color w:val="000000" w:themeColor="text1"/>
                <w:sz w:val="20"/>
              </w:rPr>
              <w:t xml:space="preserve">. </w:t>
            </w:r>
            <w:r>
              <w:rPr>
                <w:rFonts w:ascii="Arial" w:hAnsi="Arial"/>
                <w:color w:val="000000" w:themeColor="text1"/>
                <w:sz w:val="20"/>
              </w:rPr>
              <w:t>februar</w:t>
            </w:r>
            <w:r w:rsidR="00BE5F1A" w:rsidRPr="00242028">
              <w:rPr>
                <w:rFonts w:ascii="Arial" w:hAnsi="Arial"/>
                <w:color w:val="000000" w:themeColor="text1"/>
                <w:sz w:val="20"/>
              </w:rPr>
              <w:t xml:space="preserve"> 201</w:t>
            </w:r>
            <w:r>
              <w:rPr>
                <w:rFonts w:ascii="Arial" w:hAnsi="Arial"/>
                <w:color w:val="000000" w:themeColor="text1"/>
                <w:sz w:val="20"/>
              </w:rPr>
              <w:t>9</w:t>
            </w:r>
          </w:p>
          <w:p w14:paraId="7EA3C5D9" w14:textId="06E8ED5F" w:rsidR="00BE5F1A" w:rsidRPr="00242028" w:rsidRDefault="00BE5F1A" w:rsidP="00AD5EEC">
            <w:pPr>
              <w:rPr>
                <w:rFonts w:ascii="Arial" w:hAnsi="Arial"/>
                <w:color w:val="000000" w:themeColor="text1"/>
                <w:sz w:val="20"/>
              </w:rPr>
            </w:pPr>
            <w:r w:rsidRPr="00242028">
              <w:rPr>
                <w:rFonts w:ascii="Arial" w:hAnsi="Arial"/>
                <w:color w:val="000000" w:themeColor="text1"/>
                <w:sz w:val="20"/>
              </w:rPr>
              <w:t xml:space="preserve">Ref.: </w:t>
            </w:r>
            <w:r w:rsidR="00104ADE">
              <w:rPr>
                <w:rFonts w:ascii="Arial" w:hAnsi="Arial"/>
                <w:color w:val="000000" w:themeColor="text1"/>
                <w:sz w:val="20"/>
              </w:rPr>
              <w:t>HSL</w:t>
            </w:r>
          </w:p>
          <w:p w14:paraId="3633E1D5" w14:textId="77777777" w:rsidR="00BE5F1A" w:rsidRPr="002C120F" w:rsidRDefault="00BE5F1A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1195887C" w14:textId="77777777" w:rsidR="00E33390" w:rsidRPr="005C7B5C" w:rsidRDefault="00B10B66">
      <w:pPr>
        <w:rPr>
          <w:rFonts w:ascii="Arial" w:hAnsi="Arial"/>
          <w:sz w:val="22"/>
          <w:szCs w:val="22"/>
        </w:rPr>
      </w:pPr>
    </w:p>
    <w:sectPr w:rsidR="00E33390" w:rsidRPr="005C7B5C" w:rsidSect="00B6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701" w:left="1134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0D30" w14:textId="77777777" w:rsidR="00B10B66" w:rsidRDefault="00B10B66">
      <w:r>
        <w:separator/>
      </w:r>
    </w:p>
  </w:endnote>
  <w:endnote w:type="continuationSeparator" w:id="0">
    <w:p w14:paraId="05C562E4" w14:textId="77777777" w:rsidR="00B10B66" w:rsidRDefault="00B1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8836" w14:textId="77777777" w:rsidR="00E33390" w:rsidRDefault="00401E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435594E" w14:textId="77777777" w:rsidR="00E33390" w:rsidRDefault="00B10B6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56F4" w14:textId="77777777" w:rsidR="00E33390" w:rsidRPr="005C7B5C" w:rsidRDefault="00401EBE" w:rsidP="00E33390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Pr="005C7B5C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14:paraId="09F1C27C" w14:textId="77777777" w:rsidR="00E33390" w:rsidRDefault="00B10B6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1E66" w14:textId="77777777" w:rsidR="00E33390" w:rsidRDefault="00B10B66" w:rsidP="00E3339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D53B1" w14:textId="77777777" w:rsidR="00B10B66" w:rsidRDefault="00B10B66">
      <w:r>
        <w:separator/>
      </w:r>
    </w:p>
  </w:footnote>
  <w:footnote w:type="continuationSeparator" w:id="0">
    <w:p w14:paraId="45C025DF" w14:textId="77777777" w:rsidR="00B10B66" w:rsidRDefault="00B1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2B17" w14:textId="77777777" w:rsidR="00E33390" w:rsidRDefault="00401EB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401F814" w14:textId="77777777" w:rsidR="00E33390" w:rsidRDefault="00B10B66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2645" w14:textId="77777777" w:rsidR="00E33390" w:rsidRDefault="00B10B66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78"/>
    </w:tblGrid>
    <w:tr w:rsidR="001776DA" w:rsidRPr="0064758B" w14:paraId="30F6823C" w14:textId="77777777">
      <w:tc>
        <w:tcPr>
          <w:tcW w:w="4678" w:type="dxa"/>
        </w:tcPr>
        <w:p w14:paraId="1910B4D8" w14:textId="2C21651F" w:rsidR="001776DA" w:rsidRPr="001776DA" w:rsidRDefault="001776DA" w:rsidP="001776DA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3DC4967E" wp14:editId="39CE448D">
                <wp:extent cx="1385859" cy="481125"/>
                <wp:effectExtent l="0" t="0" r="0" b="190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EF0160" w14:textId="77777777" w:rsidR="00E33390" w:rsidRPr="0064758B" w:rsidRDefault="00B10B66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1C6A2498" w14:textId="5B4A893A" w:rsidR="00E33390" w:rsidRPr="0064758B" w:rsidRDefault="00B10B66" w:rsidP="001776DA">
    <w:pPr>
      <w:pStyle w:val="Sidefod"/>
      <w:rPr>
        <w:rFonts w:ascii="Arial" w:hAnsi="Arial"/>
        <w:b/>
        <w:caps/>
        <w:color w:val="333333"/>
        <w:sz w:val="18"/>
      </w:rPr>
    </w:pPr>
  </w:p>
  <w:p w14:paraId="2F0AAD6B" w14:textId="77777777" w:rsidR="00E33390" w:rsidRPr="0064758B" w:rsidRDefault="00B10B66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14:paraId="47AB9F50" w14:textId="77777777" w:rsidR="00E33390" w:rsidRPr="0064758B" w:rsidRDefault="00B10B66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EC40" w14:textId="77777777" w:rsidR="00E33390" w:rsidRDefault="00B10B66"/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02"/>
    </w:tblGrid>
    <w:tr w:rsidR="00AE3F56" w:rsidRPr="00AC6944" w14:paraId="2BE7A567" w14:textId="77777777">
      <w:trPr>
        <w:trHeight w:val="3103"/>
      </w:trPr>
      <w:tc>
        <w:tcPr>
          <w:tcW w:w="5002" w:type="dxa"/>
        </w:tcPr>
        <w:p w14:paraId="49E42825" w14:textId="67B8C4F3" w:rsidR="00E33390" w:rsidRPr="00CB28D5" w:rsidRDefault="00B56072" w:rsidP="00E33390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36688933" wp14:editId="20485E74">
                <wp:extent cx="1385859" cy="481125"/>
                <wp:effectExtent l="0" t="0" r="0" b="1905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kærmbillede 2018-08-06 kl. 13.53.5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63" cy="52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E4E590" w14:textId="5F9E926C" w:rsidR="00E33390" w:rsidRDefault="00B10B66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tbl>
          <w:tblPr>
            <w:tblStyle w:val="Tabel-Gitter"/>
            <w:tblW w:w="2155" w:type="dxa"/>
            <w:jc w:val="right"/>
            <w:tblBorders>
              <w:top w:val="single" w:sz="18" w:space="0" w:color="003968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284" w:type="dxa"/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55"/>
          </w:tblGrid>
          <w:tr w:rsidR="00053B12" w14:paraId="11F34AE9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6C733EEB" w14:textId="77777777" w:rsidR="001C7DD7" w:rsidRDefault="001C7DD7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</w:p>
              <w:p w14:paraId="31588EB5" w14:textId="759B936A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Nordensvej 3, Taulov</w:t>
                </w:r>
              </w:p>
              <w:p w14:paraId="18A8773E" w14:textId="2D678960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DK - 7000 Fredericia</w:t>
                </w:r>
              </w:p>
            </w:tc>
          </w:tr>
          <w:tr w:rsidR="00053B12" w14:paraId="43B43910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42321B35" w14:textId="77777777" w:rsidR="00053B12" w:rsidRPr="00786F41" w:rsidRDefault="00053B12" w:rsidP="00AD5EEC">
                <w:pPr>
                  <w:pStyle w:val="Sidefod"/>
                  <w:tabs>
                    <w:tab w:val="left" w:pos="8440"/>
                  </w:tabs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Axeltorv 3, Axelborg</w:t>
                </w:r>
              </w:p>
              <w:p w14:paraId="799E29BD" w14:textId="174A8B8F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</w:rPr>
                  <w:t>DK - 1609 København V</w:t>
                </w:r>
              </w:p>
            </w:tc>
          </w:tr>
          <w:tr w:rsidR="00053B12" w14:paraId="0D14B2F0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10257694" w14:textId="77777777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  <w:lang w:val="en-US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  <w:lang w:val="en-US"/>
                  </w:rPr>
                  <w:t xml:space="preserve">Tlf. +45 70 10 40 40 </w:t>
                </w:r>
              </w:p>
              <w:p w14:paraId="44124CAF" w14:textId="0842C1A5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786F41">
                  <w:rPr>
                    <w:rFonts w:ascii="Arial" w:hAnsi="Arial"/>
                    <w:color w:val="003968"/>
                    <w:sz w:val="16"/>
                    <w:lang w:val="en-US"/>
                  </w:rPr>
                  <w:t>Fax. +45 75 45 19 28</w:t>
                </w:r>
              </w:p>
            </w:tc>
          </w:tr>
          <w:tr w:rsidR="00053B12" w14:paraId="68003233" w14:textId="77777777" w:rsidTr="001C7DD7">
            <w:trPr>
              <w:jc w:val="right"/>
            </w:trPr>
            <w:tc>
              <w:tcPr>
                <w:tcW w:w="1984" w:type="dxa"/>
                <w:tcMar>
                  <w:top w:w="113" w:type="dxa"/>
                </w:tcMar>
              </w:tcPr>
              <w:p w14:paraId="6A449C7D" w14:textId="77777777" w:rsidR="00053B12" w:rsidRPr="00242028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242028">
                  <w:rPr>
                    <w:rFonts w:ascii="Arial" w:hAnsi="Arial"/>
                    <w:color w:val="003968"/>
                    <w:sz w:val="16"/>
                  </w:rPr>
                  <w:t>mail@dkfisk.dk</w:t>
                </w:r>
              </w:p>
              <w:p w14:paraId="1196F9F7" w14:textId="73F0F82D" w:rsidR="00053B12" w:rsidRPr="00786F41" w:rsidRDefault="00053B12" w:rsidP="00AD5EEC">
                <w:pPr>
                  <w:pStyle w:val="Sidefod"/>
                  <w:rPr>
                    <w:rFonts w:ascii="Arial" w:hAnsi="Arial"/>
                    <w:color w:val="003968"/>
                    <w:sz w:val="16"/>
                  </w:rPr>
                </w:pPr>
                <w:r w:rsidRPr="00B455AF">
                  <w:rPr>
                    <w:rFonts w:ascii="Arial" w:hAnsi="Arial"/>
                    <w:color w:val="003968"/>
                    <w:sz w:val="16"/>
                  </w:rPr>
                  <w:t>www.dkfisk.dk</w:t>
                </w:r>
              </w:p>
            </w:tc>
          </w:tr>
        </w:tbl>
        <w:p w14:paraId="2B10505C" w14:textId="68C135A2" w:rsidR="00BB44A0" w:rsidRPr="00BE5F1A" w:rsidRDefault="00BB44A0" w:rsidP="00BD591B">
          <w:pPr>
            <w:pStyle w:val="Sidefod"/>
            <w:rPr>
              <w:rFonts w:ascii="Arial" w:hAnsi="Arial"/>
              <w:color w:val="808080"/>
              <w:sz w:val="18"/>
            </w:rPr>
          </w:pPr>
        </w:p>
      </w:tc>
    </w:tr>
  </w:tbl>
  <w:p w14:paraId="70C11AEF" w14:textId="77777777" w:rsidR="00E33390" w:rsidRPr="00BE5F1A" w:rsidRDefault="00B10B66" w:rsidP="00E333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6"/>
    <w:rsid w:val="00005973"/>
    <w:rsid w:val="00052AE6"/>
    <w:rsid w:val="00053B12"/>
    <w:rsid w:val="00053B64"/>
    <w:rsid w:val="0007757A"/>
    <w:rsid w:val="00104ADE"/>
    <w:rsid w:val="00131C79"/>
    <w:rsid w:val="001776DA"/>
    <w:rsid w:val="001B6CA1"/>
    <w:rsid w:val="001C7DD7"/>
    <w:rsid w:val="001D08E4"/>
    <w:rsid w:val="001F1255"/>
    <w:rsid w:val="001F5A38"/>
    <w:rsid w:val="002163A2"/>
    <w:rsid w:val="00220A1A"/>
    <w:rsid w:val="00242028"/>
    <w:rsid w:val="00252959"/>
    <w:rsid w:val="00267C89"/>
    <w:rsid w:val="00286CB0"/>
    <w:rsid w:val="002C120F"/>
    <w:rsid w:val="002E666F"/>
    <w:rsid w:val="00327020"/>
    <w:rsid w:val="003C2677"/>
    <w:rsid w:val="00401EBE"/>
    <w:rsid w:val="00407BD9"/>
    <w:rsid w:val="004104DD"/>
    <w:rsid w:val="0042015D"/>
    <w:rsid w:val="004323A7"/>
    <w:rsid w:val="00457D91"/>
    <w:rsid w:val="00472E7C"/>
    <w:rsid w:val="005549D6"/>
    <w:rsid w:val="005761AB"/>
    <w:rsid w:val="005B5BBA"/>
    <w:rsid w:val="006422A8"/>
    <w:rsid w:val="006736FA"/>
    <w:rsid w:val="006762A3"/>
    <w:rsid w:val="006819D1"/>
    <w:rsid w:val="00685D99"/>
    <w:rsid w:val="0072100D"/>
    <w:rsid w:val="0072600A"/>
    <w:rsid w:val="00736953"/>
    <w:rsid w:val="00786F41"/>
    <w:rsid w:val="00796FC6"/>
    <w:rsid w:val="007D0003"/>
    <w:rsid w:val="007E1623"/>
    <w:rsid w:val="0081131F"/>
    <w:rsid w:val="00823886"/>
    <w:rsid w:val="008305DC"/>
    <w:rsid w:val="00833CDC"/>
    <w:rsid w:val="00882A95"/>
    <w:rsid w:val="008A754E"/>
    <w:rsid w:val="009426BD"/>
    <w:rsid w:val="00956EF6"/>
    <w:rsid w:val="009902D6"/>
    <w:rsid w:val="009A6973"/>
    <w:rsid w:val="009E7630"/>
    <w:rsid w:val="009F06EE"/>
    <w:rsid w:val="00A93BC2"/>
    <w:rsid w:val="00AC5B11"/>
    <w:rsid w:val="00AC6944"/>
    <w:rsid w:val="00AD5EEC"/>
    <w:rsid w:val="00AE3F56"/>
    <w:rsid w:val="00B053BD"/>
    <w:rsid w:val="00B10B66"/>
    <w:rsid w:val="00B34B7F"/>
    <w:rsid w:val="00B455AF"/>
    <w:rsid w:val="00B56072"/>
    <w:rsid w:val="00B620B2"/>
    <w:rsid w:val="00B84D65"/>
    <w:rsid w:val="00B93D68"/>
    <w:rsid w:val="00BB44A0"/>
    <w:rsid w:val="00BC0BB6"/>
    <w:rsid w:val="00BD591B"/>
    <w:rsid w:val="00BE5F1A"/>
    <w:rsid w:val="00C37BC2"/>
    <w:rsid w:val="00C66AD3"/>
    <w:rsid w:val="00C74351"/>
    <w:rsid w:val="00CA45BA"/>
    <w:rsid w:val="00CB563D"/>
    <w:rsid w:val="00CC55E8"/>
    <w:rsid w:val="00D641EA"/>
    <w:rsid w:val="00D67405"/>
    <w:rsid w:val="00D772F0"/>
    <w:rsid w:val="00D85E92"/>
    <w:rsid w:val="00E50A5E"/>
    <w:rsid w:val="00E517A1"/>
    <w:rsid w:val="00E7750B"/>
    <w:rsid w:val="00EA2B28"/>
    <w:rsid w:val="00EA3CC6"/>
    <w:rsid w:val="00EB768D"/>
    <w:rsid w:val="00EC4348"/>
    <w:rsid w:val="00EC6B83"/>
    <w:rsid w:val="00F5149C"/>
    <w:rsid w:val="00F52008"/>
    <w:rsid w:val="00F70A64"/>
    <w:rsid w:val="00FA1217"/>
    <w:rsid w:val="00FA2518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98157"/>
  <w15:docId w15:val="{1CB63281-73B8-3243-825F-E998549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66AD3"/>
    <w:rPr>
      <w:color w:val="003968"/>
      <w:u w:val="non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B44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39BEC-9129-4604-92EB-12330FD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2416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Steen Sørensen</dc:creator>
  <cp:lastModifiedBy>Henrik S. Lund</cp:lastModifiedBy>
  <cp:revision>7</cp:revision>
  <cp:lastPrinted>2018-08-07T12:45:00Z</cp:lastPrinted>
  <dcterms:created xsi:type="dcterms:W3CDTF">2019-02-25T12:01:00Z</dcterms:created>
  <dcterms:modified xsi:type="dcterms:W3CDTF">2019-02-25T12:18:00Z</dcterms:modified>
</cp:coreProperties>
</file>